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g" ContentType="image/jpe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rPr>
          <w:b/>
          <w:bCs/>
        </w:rPr>
      </w:pPr>
      <w:r>
        <w:rPr>
          <w:lang w:eastAsia="ru-RU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648983" cy="886960"/>
                <wp:effectExtent l="0" t="0" r="0" b="0"/>
                <wp:docPr id="1" name="_x0000_i1026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>
                        <a:blip r:embed="rId12"/>
                        <a:stretch/>
                      </pic:blipFill>
                      <pic:spPr bwMode="auto">
                        <a:xfrm>
                          <a:off x="0" y="0"/>
                          <a:ext cx="648983" cy="8869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width:51.10pt;height:69.84pt;mso-wrap-distance-left:0.00pt;mso-wrap-distance-top:0.00pt;mso-wrap-distance-right:0.00pt;mso-wrap-distance-bottom:0.00pt;" stroked="f">
                <v:path textboxrect="0,0,0,0"/>
                <v:imagedata r:id="rId12" o:title=""/>
              </v:shape>
            </w:pict>
          </mc:Fallback>
        </mc:AlternateContent>
      </w:r>
      <w:r>
        <w:rPr>
          <w:b/>
          <w:bCs/>
        </w:rPr>
      </w:r>
      <w:r>
        <w:rPr>
          <w:b/>
          <w:bCs/>
        </w:rPr>
      </w:r>
    </w:p>
    <w:p>
      <w:pPr>
        <w:spacing w:after="0" w:line="240" w:lineRule="auto"/>
        <w:jc w:val="center"/>
        <w:rPr>
          <w:rFonts w:eastAsia="Times New Roman"/>
          <w:b/>
          <w:lang w:eastAsia="ru-RU"/>
        </w:rPr>
      </w:pPr>
      <w:r>
        <w:rPr>
          <w:rFonts w:eastAsia="Times New Roman"/>
          <w:b/>
          <w:lang w:eastAsia="ru-RU"/>
        </w:rPr>
        <w:t xml:space="preserve">БЕЛОЯРСКИЙ РАЙОН</w:t>
      </w:r>
      <w:r>
        <w:rPr>
          <w:rFonts w:eastAsia="Times New Roman"/>
          <w:b/>
          <w:lang w:eastAsia="ru-RU"/>
        </w:rPr>
      </w:r>
      <w:r>
        <w:rPr>
          <w:rFonts w:eastAsia="Times New Roman"/>
          <w:b/>
          <w:lang w:eastAsia="ru-RU"/>
        </w:rPr>
      </w:r>
    </w:p>
    <w:p>
      <w:pPr>
        <w:spacing w:after="0" w:line="240" w:lineRule="auto"/>
        <w:jc w:val="center"/>
        <w:rPr>
          <w:rFonts w:eastAsia="Times New Roman"/>
          <w:b/>
          <w:sz w:val="20"/>
          <w:szCs w:val="20"/>
          <w:lang w:eastAsia="ru-RU"/>
        </w:rPr>
      </w:pPr>
      <w:r>
        <w:rPr>
          <w:rFonts w:eastAsia="Times New Roman"/>
          <w:b/>
          <w:sz w:val="20"/>
          <w:szCs w:val="20"/>
          <w:lang w:eastAsia="ru-RU"/>
        </w:rPr>
        <w:t xml:space="preserve">ХАНТЫ-МАНСИЙСКИЙ АВТОНОМНЫЙ ОКРУГ – ЮГРА</w:t>
      </w:r>
      <w:r>
        <w:rPr>
          <w:rFonts w:eastAsia="Times New Roman"/>
          <w:b/>
          <w:sz w:val="20"/>
          <w:szCs w:val="20"/>
          <w:lang w:eastAsia="ru-RU"/>
        </w:rPr>
      </w:r>
      <w:r>
        <w:rPr>
          <w:rFonts w:eastAsia="Times New Roman"/>
          <w:b/>
          <w:sz w:val="20"/>
          <w:szCs w:val="20"/>
          <w:lang w:eastAsia="ru-RU"/>
        </w:rPr>
      </w:r>
    </w:p>
    <w:p>
      <w:pPr>
        <w:spacing w:after="0" w:line="240" w:lineRule="auto"/>
        <w:jc w:val="center"/>
        <w:rPr>
          <w:rFonts w:eastAsia="Times New Roman"/>
          <w:sz w:val="24"/>
          <w:szCs w:val="20"/>
          <w:lang w:eastAsia="ru-RU"/>
        </w:rPr>
      </w:pPr>
      <w:r>
        <w:rPr>
          <w:rFonts w:eastAsia="Times New Roman"/>
          <w:sz w:val="24"/>
          <w:szCs w:val="20"/>
          <w:lang w:eastAsia="ru-RU"/>
        </w:rPr>
      </w:r>
      <w:r>
        <w:rPr>
          <w:rFonts w:eastAsia="Times New Roman"/>
          <w:sz w:val="24"/>
          <w:szCs w:val="20"/>
          <w:lang w:eastAsia="ru-RU"/>
        </w:rPr>
      </w:r>
      <w:r>
        <w:rPr>
          <w:rFonts w:eastAsia="Times New Roman"/>
          <w:sz w:val="24"/>
          <w:szCs w:val="20"/>
          <w:lang w:eastAsia="ru-RU"/>
        </w:rPr>
      </w:r>
    </w:p>
    <w:p>
      <w:pPr>
        <w:spacing w:after="0" w:line="240" w:lineRule="auto"/>
        <w:jc w:val="center"/>
        <w:rPr>
          <w:rFonts w:eastAsia="Times New Roman"/>
          <w:sz w:val="24"/>
          <w:szCs w:val="20"/>
          <w:lang w:eastAsia="ru-RU"/>
        </w:rPr>
      </w:pPr>
      <w:r>
        <w:rPr>
          <w:rFonts w:eastAsia="Times New Roman"/>
          <w:sz w:val="24"/>
          <w:szCs w:val="20"/>
          <w:lang w:eastAsia="ru-RU"/>
        </w:rPr>
      </w:r>
      <w:r>
        <w:rPr>
          <w:rFonts w:eastAsia="Times New Roman"/>
          <w:sz w:val="24"/>
          <w:szCs w:val="20"/>
          <w:lang w:eastAsia="ru-RU"/>
        </w:rPr>
      </w:r>
      <w:r>
        <w:rPr>
          <w:rFonts w:eastAsia="Times New Roman"/>
          <w:sz w:val="24"/>
          <w:szCs w:val="20"/>
          <w:lang w:eastAsia="ru-RU"/>
        </w:rPr>
      </w:r>
    </w:p>
    <w:p>
      <w:pPr>
        <w:spacing w:after="0" w:line="240" w:lineRule="auto"/>
        <w:jc w:val="center"/>
        <w:rPr>
          <w:rFonts w:eastAsia="Times New Roman"/>
          <w:b/>
          <w:sz w:val="28"/>
          <w:szCs w:val="28"/>
          <w:lang w:eastAsia="ru-RU"/>
        </w:rPr>
      </w:pPr>
      <w:r>
        <w:rPr>
          <w:rFonts w:eastAsia="Times New Roman"/>
          <w:b/>
          <w:sz w:val="28"/>
          <w:szCs w:val="28"/>
          <w:lang w:eastAsia="ru-RU"/>
        </w:rPr>
        <w:t xml:space="preserve">АДМИНИСТРАЦИЯ БЕЛОЯРСКОГО РАЙОНА</w:t>
      </w:r>
      <w:r>
        <w:rPr>
          <w:rFonts w:eastAsia="Times New Roman"/>
          <w:b/>
          <w:sz w:val="28"/>
          <w:szCs w:val="28"/>
          <w:lang w:eastAsia="ru-RU"/>
        </w:rPr>
      </w:r>
      <w:r>
        <w:rPr>
          <w:rFonts w:eastAsia="Times New Roman"/>
          <w:b/>
          <w:sz w:val="28"/>
          <w:szCs w:val="28"/>
          <w:lang w:eastAsia="ru-RU"/>
        </w:rPr>
      </w:r>
    </w:p>
    <w:p>
      <w:pPr>
        <w:spacing w:after="0" w:line="240" w:lineRule="auto"/>
        <w:jc w:val="center"/>
        <w:rPr>
          <w:rFonts w:eastAsia="Times New Roman"/>
          <w:b/>
          <w:sz w:val="24"/>
          <w:szCs w:val="24"/>
          <w:lang w:eastAsia="ru-RU"/>
        </w:rPr>
      </w:pPr>
      <w:r>
        <w:rPr>
          <w:rFonts w:eastAsia="Times New Roman"/>
          <w:b/>
          <w:sz w:val="24"/>
          <w:szCs w:val="24"/>
          <w:lang w:eastAsia="ru-RU"/>
        </w:rPr>
      </w:r>
      <w:r>
        <w:rPr>
          <w:rFonts w:eastAsia="Times New Roman"/>
          <w:b/>
          <w:sz w:val="24"/>
          <w:szCs w:val="24"/>
          <w:lang w:eastAsia="ru-RU"/>
        </w:rPr>
      </w:r>
      <w:r>
        <w:rPr>
          <w:rFonts w:eastAsia="Times New Roman"/>
          <w:b/>
          <w:sz w:val="24"/>
          <w:szCs w:val="24"/>
          <w:lang w:eastAsia="ru-RU"/>
        </w:rPr>
      </w:r>
    </w:p>
    <w:p>
      <w:pPr>
        <w:spacing w:after="0" w:line="240" w:lineRule="auto"/>
        <w:jc w:val="center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</w:r>
      <w:r>
        <w:rPr>
          <w:rFonts w:eastAsia="Times New Roman"/>
          <w:sz w:val="24"/>
          <w:szCs w:val="24"/>
          <w:lang w:eastAsia="ru-RU"/>
        </w:rPr>
      </w:r>
      <w:r>
        <w:rPr>
          <w:rFonts w:eastAsia="Times New Roman"/>
          <w:sz w:val="24"/>
          <w:szCs w:val="24"/>
          <w:lang w:eastAsia="ru-RU"/>
        </w:rPr>
      </w:r>
    </w:p>
    <w:p>
      <w:pPr>
        <w:spacing w:after="0" w:line="240" w:lineRule="auto"/>
        <w:jc w:val="center"/>
        <w:rPr>
          <w:rFonts w:eastAsia="Times New Roman"/>
          <w:b/>
          <w:sz w:val="28"/>
          <w:szCs w:val="28"/>
          <w:lang w:eastAsia="ru-RU"/>
        </w:rPr>
      </w:pPr>
      <w:r>
        <w:rPr>
          <w:rFonts w:eastAsia="Times New Roman"/>
          <w:b/>
          <w:sz w:val="28"/>
          <w:szCs w:val="28"/>
          <w:lang w:eastAsia="ru-RU"/>
        </w:rPr>
        <w:t xml:space="preserve">ПОСТАНОВЛЕНИЕ</w:t>
      </w:r>
      <w:r>
        <w:rPr>
          <w:rFonts w:eastAsia="Times New Roman"/>
          <w:b/>
          <w:sz w:val="28"/>
          <w:szCs w:val="28"/>
          <w:lang w:eastAsia="ru-RU"/>
        </w:rPr>
      </w:r>
      <w:r>
        <w:rPr>
          <w:rFonts w:eastAsia="Times New Roman"/>
          <w:b/>
          <w:sz w:val="28"/>
          <w:szCs w:val="28"/>
          <w:lang w:eastAsia="ru-RU"/>
        </w:rPr>
      </w:r>
    </w:p>
    <w:p>
      <w:pPr>
        <w:pStyle w:val="909"/>
        <w:jc w:val="center"/>
      </w:pPr>
    </w:p>
    <w:p>
      <w:pPr>
        <w:pStyle w:val="909"/>
        <w:jc w:val="center"/>
      </w:pPr>
    </w:p>
    <w:p>
      <w:pPr>
        <w:pStyle w:val="909"/>
        <w:jc w:val="left"/>
      </w:pPr>
      <w:r>
        <w:t xml:space="preserve">от 29 декабря 2025 года                                                                                                          № 921</w:t>
      </w:r>
    </w:p>
    <w:p>
      <w:pPr>
        <w:pStyle w:val="909"/>
        <w:jc w:val="center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spacing w:after="0" w:line="240" w:lineRule="auto"/>
        <w:jc w:val="center"/>
        <w:rPr>
          <w:rFonts w:eastAsia="Times New Roman"/>
          <w:b/>
          <w:sz w:val="24"/>
          <w:szCs w:val="24"/>
          <w:lang w:eastAsia="ru-RU"/>
        </w:rPr>
      </w:pPr>
      <w:r>
        <w:rPr>
          <w:rFonts w:eastAsia="Times New Roman"/>
          <w:b/>
          <w:sz w:val="24"/>
          <w:szCs w:val="24"/>
          <w:lang w:eastAsia="ru-RU"/>
        </w:rPr>
      </w:r>
      <w:r>
        <w:rPr>
          <w:rFonts w:eastAsia="Times New Roman"/>
          <w:b/>
          <w:sz w:val="24"/>
          <w:szCs w:val="24"/>
          <w:lang w:eastAsia="ru-RU"/>
        </w:rPr>
      </w:r>
      <w:r>
        <w:rPr>
          <w:rFonts w:eastAsia="Times New Roman"/>
          <w:b/>
          <w:sz w:val="24"/>
          <w:szCs w:val="24"/>
          <w:lang w:eastAsia="ru-RU"/>
        </w:rPr>
      </w:r>
    </w:p>
    <w:p>
      <w:pPr>
        <w:spacing w:after="0" w:line="240" w:lineRule="auto"/>
        <w:jc w:val="center"/>
        <w:rPr>
          <w:rFonts w:eastAsia="Times New Roman"/>
          <w:b/>
          <w:sz w:val="24"/>
          <w:szCs w:val="24"/>
          <w:lang w:eastAsia="ru-RU"/>
        </w:rPr>
      </w:pPr>
      <w:r>
        <w:rPr>
          <w:rFonts w:eastAsia="Times New Roman"/>
          <w:b/>
          <w:sz w:val="24"/>
          <w:szCs w:val="24"/>
          <w:lang w:eastAsia="ru-RU"/>
        </w:rPr>
        <w:t xml:space="preserve">О внесении изменений в постановление администрации Белоярского района </w:t>
      </w:r>
      <w:r>
        <w:rPr>
          <w:rFonts w:eastAsia="Times New Roman"/>
          <w:b/>
          <w:sz w:val="24"/>
          <w:szCs w:val="24"/>
          <w:lang w:eastAsia="ru-RU"/>
        </w:rPr>
      </w:r>
      <w:r>
        <w:rPr>
          <w:rFonts w:eastAsia="Times New Roman"/>
          <w:b/>
          <w:sz w:val="24"/>
          <w:szCs w:val="24"/>
          <w:lang w:eastAsia="ru-RU"/>
        </w:rPr>
      </w:r>
    </w:p>
    <w:p>
      <w:pPr>
        <w:spacing w:after="0" w:line="240" w:lineRule="auto"/>
        <w:jc w:val="center"/>
        <w:rPr>
          <w:rFonts w:eastAsia="Times New Roman"/>
          <w:b/>
          <w:sz w:val="24"/>
          <w:szCs w:val="24"/>
          <w:lang w:eastAsia="ru-RU"/>
        </w:rPr>
      </w:pPr>
      <w:r>
        <w:rPr>
          <w:rFonts w:eastAsia="Times New Roman"/>
          <w:b/>
          <w:sz w:val="24"/>
          <w:szCs w:val="24"/>
          <w:lang w:eastAsia="ru-RU"/>
        </w:rPr>
        <w:t xml:space="preserve">от 5 декабря 2024 года № 855 </w:t>
      </w:r>
      <w:r>
        <w:rPr>
          <w:rFonts w:eastAsia="Times New Roman"/>
          <w:b/>
          <w:sz w:val="24"/>
          <w:szCs w:val="24"/>
          <w:lang w:eastAsia="ru-RU"/>
        </w:rPr>
      </w:r>
      <w:r>
        <w:rPr>
          <w:rFonts w:eastAsia="Times New Roman"/>
          <w:b/>
          <w:sz w:val="24"/>
          <w:szCs w:val="24"/>
          <w:lang w:eastAsia="ru-RU"/>
        </w:rPr>
      </w:r>
    </w:p>
    <w:p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highlight w:val="yellow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yellow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highlight w:val="yellow"/>
          <w:lang w:eastAsia="ru-RU"/>
        </w:rPr>
      </w:r>
      <w:r>
        <w:rPr>
          <w:rFonts w:ascii="Times New Roman" w:hAnsi="Times New Roman" w:cs="Times New Roman"/>
          <w:sz w:val="24"/>
          <w:szCs w:val="24"/>
          <w:highlight w:val="yellow"/>
        </w:rPr>
      </w:r>
    </w:p>
    <w:p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highlight w:val="yellow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yellow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highlight w:val="yellow"/>
          <w:lang w:eastAsia="ru-RU"/>
        </w:rPr>
      </w:r>
      <w:r>
        <w:rPr>
          <w:rFonts w:ascii="Times New Roman" w:hAnsi="Times New Roman" w:cs="Times New Roman"/>
          <w:sz w:val="24"/>
          <w:szCs w:val="24"/>
          <w:highlight w:val="yellow"/>
        </w:rPr>
      </w:r>
    </w:p>
    <w:p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highlight w:val="yellow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yellow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highlight w:val="yellow"/>
          <w:lang w:eastAsia="ru-RU"/>
        </w:rPr>
      </w:r>
      <w:r>
        <w:rPr>
          <w:rFonts w:ascii="Times New Roman" w:hAnsi="Times New Roman" w:cs="Times New Roman"/>
          <w:sz w:val="24"/>
          <w:szCs w:val="24"/>
          <w:highlight w:val="yellow"/>
        </w:rPr>
      </w:r>
    </w:p>
    <w:p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pacing w:val="72"/>
          <w:sz w:val="24"/>
          <w:szCs w:val="24"/>
          <w:lang w:eastAsia="ru-RU"/>
        </w:rPr>
        <w:t xml:space="preserve">Постановля</w:t>
      </w:r>
      <w:r>
        <w:rPr>
          <w:rFonts w:eastAsia="Times New Roman"/>
          <w:sz w:val="24"/>
          <w:szCs w:val="24"/>
          <w:lang w:eastAsia="ru-RU"/>
        </w:rPr>
        <w:t xml:space="preserve">ю:</w:t>
      </w:r>
      <w:r>
        <w:rPr>
          <w:rFonts w:eastAsia="Times New Roman"/>
          <w:sz w:val="24"/>
          <w:szCs w:val="24"/>
          <w:lang w:eastAsia="ru-RU"/>
        </w:rPr>
      </w:r>
      <w:r>
        <w:rPr>
          <w:rFonts w:eastAsia="Times New Roman"/>
          <w:sz w:val="24"/>
          <w:szCs w:val="24"/>
          <w:lang w:eastAsia="ru-RU"/>
        </w:rPr>
      </w:r>
    </w:p>
    <w:p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 xml:space="preserve">1. Внести в приложение 1 «Муниципальная программа Белоярского района «Управление муниципальными финансами в Белоярском районе» (д</w:t>
      </w:r>
      <w:r>
        <w:rPr>
          <w:rFonts w:eastAsia="Times New Roman"/>
          <w:sz w:val="24"/>
          <w:szCs w:val="24"/>
          <w:lang w:eastAsia="ru-RU"/>
        </w:rPr>
        <w:t xml:space="preserve">алее – муниципальная программа) к постановлению администрации Белоярского района от 5 декабря 2024 года          № 855 «Об утверждении муниципальной программы Белоярского района «Управление муниципальными финансами в Белоярском районе» следующие изменения:</w:t>
      </w:r>
      <w:r>
        <w:rPr>
          <w:rFonts w:eastAsia="Times New Roman"/>
          <w:sz w:val="24"/>
          <w:szCs w:val="24"/>
          <w:lang w:eastAsia="ru-RU"/>
        </w:rPr>
      </w:r>
      <w:r>
        <w:rPr>
          <w:rFonts w:eastAsia="Times New Roman"/>
          <w:sz w:val="24"/>
          <w:szCs w:val="24"/>
          <w:lang w:eastAsia="ru-RU"/>
        </w:rPr>
      </w:r>
    </w:p>
    <w:p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zh-CN" w:bidi="ar"/>
        </w:rPr>
        <w:t xml:space="preserve">1) с</w:t>
      </w:r>
      <w:r>
        <w:rPr>
          <w:sz w:val="24"/>
          <w:szCs w:val="24"/>
          <w:lang w:eastAsia="zh-CN" w:bidi="ar"/>
        </w:rPr>
        <w:t xml:space="preserve">троку «Объемы финансового обеспечения за весь период реализации» </w:t>
      </w:r>
      <w:r>
        <w:rPr>
          <w:rFonts w:eastAsia="Times New Roman"/>
          <w:sz w:val="24"/>
          <w:szCs w:val="24"/>
          <w:lang w:eastAsia="ru-RU"/>
        </w:rPr>
        <w:t xml:space="preserve">раздела 1 «Основные положения» Паспорта муниципальной программы Белоярского района «Управление муниципальными финансами в Белоярском районе» (далее – Паспорт муниципальной </w:t>
      </w:r>
      <w:r>
        <w:rPr>
          <w:rFonts w:eastAsia="Times New Roman"/>
          <w:sz w:val="24"/>
          <w:szCs w:val="24"/>
          <w:lang w:eastAsia="ru-RU"/>
        </w:rPr>
        <w:t xml:space="preserve">программы)  изложить</w:t>
      </w:r>
      <w:r>
        <w:rPr>
          <w:rFonts w:eastAsia="Times New Roman"/>
          <w:sz w:val="24"/>
          <w:szCs w:val="24"/>
          <w:lang w:eastAsia="ru-RU"/>
        </w:rPr>
        <w:t xml:space="preserve"> в следующей редакции:</w:t>
      </w:r>
      <w:r>
        <w:rPr>
          <w:rFonts w:eastAsia="Times New Roman"/>
          <w:sz w:val="24"/>
          <w:szCs w:val="24"/>
          <w:lang w:eastAsia="ru-RU"/>
        </w:rPr>
      </w:r>
      <w:r>
        <w:rPr>
          <w:rFonts w:eastAsia="Times New Roman"/>
          <w:sz w:val="24"/>
          <w:szCs w:val="24"/>
          <w:lang w:eastAsia="ru-RU"/>
        </w:rPr>
      </w:r>
    </w:p>
    <w:p>
      <w:pPr>
        <w:spacing w:after="0" w:line="240" w:lineRule="auto"/>
        <w:ind w:left="0" w:right="0" w:firstLine="0"/>
        <w:jc w:val="left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 xml:space="preserve">«</w:t>
      </w:r>
      <w:r>
        <w:rPr>
          <w:rFonts w:eastAsia="Times New Roman"/>
          <w:sz w:val="24"/>
          <w:szCs w:val="24"/>
          <w:lang w:eastAsia="ru-RU"/>
        </w:rPr>
      </w:r>
      <w:r>
        <w:rPr>
          <w:rFonts w:eastAsia="Times New Roman"/>
          <w:sz w:val="24"/>
          <w:szCs w:val="24"/>
          <w:lang w:eastAsia="ru-RU"/>
        </w:rPr>
      </w:r>
    </w:p>
    <w:tbl>
      <w:tblPr>
        <w:tblW w:w="4996" w:type="pct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000" w:firstRow="0" w:lastRow="0" w:firstColumn="0" w:lastColumn="0" w:noHBand="0" w:noVBand="0"/>
      </w:tblPr>
      <w:tblGrid>
        <w:gridCol w:w="5669"/>
        <w:gridCol w:w="3819"/>
      </w:tblGrid>
      <w:tr>
        <w:trPr>
          <w:trHeight w:val="686"/>
        </w:trPr>
        <w:tblPrEx/>
        <w:tc>
          <w:tcPr>
            <w:tcW w:w="5669" w:type="dxa"/>
            <w:tcBorders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zh-CN" w:bidi="ar"/>
              </w:rPr>
              <w:t xml:space="preserve">Объемы финансового обеспечения за весь период реализации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3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zh-CN" w:bidi="ar"/>
              </w:rPr>
              <w:t xml:space="preserve">1 884 568,3</w:t>
            </w:r>
            <w:r>
              <w:rPr>
                <w:sz w:val="24"/>
                <w:szCs w:val="24"/>
                <w:lang w:eastAsia="zh-CN" w:bidi="ar"/>
              </w:rPr>
              <w:t xml:space="preserve"> </w:t>
            </w:r>
            <w:r>
              <w:rPr>
                <w:sz w:val="24"/>
                <w:szCs w:val="24"/>
                <w:lang w:eastAsia="zh-CN" w:bidi="ar"/>
              </w:rPr>
              <w:t xml:space="preserve">тысяч рублей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</w:tbl>
    <w:p>
      <w:pPr>
        <w:spacing w:after="0" w:line="240" w:lineRule="auto"/>
        <w:ind w:firstLine="709"/>
        <w:jc w:val="right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 xml:space="preserve">»;</w:t>
      </w:r>
      <w:r>
        <w:rPr>
          <w:rFonts w:eastAsia="Times New Roman"/>
          <w:sz w:val="24"/>
          <w:szCs w:val="24"/>
          <w:lang w:eastAsia="ru-RU"/>
        </w:rPr>
      </w:r>
      <w:r>
        <w:rPr>
          <w:rFonts w:eastAsia="Times New Roman"/>
          <w:sz w:val="24"/>
          <w:szCs w:val="24"/>
          <w:lang w:eastAsia="ru-RU"/>
        </w:rPr>
      </w:r>
    </w:p>
    <w:p>
      <w:pPr>
        <w:pStyle w:val="742"/>
        <w:numPr>
          <w:numId w:val="1"/>
          <w:ilvl w:val="0"/>
        </w:numPr>
        <w:spacing w:after="0" w:line="240" w:lineRule="auto"/>
        <w:ind w:left="0" w:firstLine="709"/>
        <w:jc w:val="both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позицию 3.2 раздела 3 «Структура муниципальной программы» Паспорта муниципальной программы изложить в следующей редакции:</w:t>
      </w:r>
      <w:r>
        <w:rPr>
          <w:rFonts w:ascii="Times New Roman" w:hAnsi="Times New Roman" w:eastAsia="Times New Roman"/>
          <w:sz w:val="24"/>
          <w:szCs w:val="24"/>
          <w:lang w:eastAsia="ru-RU"/>
        </w:rPr>
      </w:r>
      <w:r>
        <w:rPr>
          <w:rFonts w:ascii="Times New Roman" w:hAnsi="Times New Roman" w:eastAsia="Times New Roman"/>
          <w:sz w:val="24"/>
          <w:szCs w:val="24"/>
          <w:lang w:eastAsia="ru-RU"/>
        </w:rPr>
      </w:r>
    </w:p>
    <w:p>
      <w:pPr>
        <w:spacing w:after="0" w:line="240" w:lineRule="auto"/>
        <w:ind w:left="0" w:right="0" w:firstLine="0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 xml:space="preserve">«</w:t>
      </w:r>
      <w:r>
        <w:rPr>
          <w:rFonts w:eastAsia="Times New Roman"/>
          <w:sz w:val="24"/>
          <w:szCs w:val="24"/>
          <w:lang w:eastAsia="ru-RU"/>
        </w:rPr>
      </w:r>
      <w:r>
        <w:rPr>
          <w:rFonts w:eastAsia="Times New Roman"/>
          <w:sz w:val="24"/>
          <w:szCs w:val="24"/>
          <w:lang w:eastAsia="ru-RU"/>
        </w:rPr>
      </w:r>
    </w:p>
    <w:tbl>
      <w:tblPr>
        <w:tblW w:w="5024" w:type="pct"/>
        <w:jc w:val="center"/>
        <w:tblInd w:w="92" w:type="dxa"/>
        <w:tblLayout w:type="fixed"/>
        <w:tblLook w:val="04A0" w:firstRow="1" w:lastRow="0" w:firstColumn="1" w:lastColumn="0" w:noHBand="0" w:noVBand="1"/>
      </w:tblPr>
      <w:tblGrid>
        <w:gridCol w:w="732"/>
        <w:gridCol w:w="2560"/>
        <w:gridCol w:w="3511"/>
        <w:gridCol w:w="2739"/>
      </w:tblGrid>
      <w:tr>
        <w:trPr>
          <w:jc w:val="center"/>
          <w:trHeight w:val="720"/>
          <w:tblHeader/>
        </w:trPr>
        <w:tblPrEx/>
        <w:tc>
          <w:tcPr>
            <w:tcW w:w="73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  <w:lang w:eastAsia="zh-CN" w:bidi="ar"/>
              </w:rPr>
              <w:t xml:space="preserve">№</w:t>
            </w:r>
            <w:r>
              <w:rPr>
                <w:color w:val="000000"/>
                <w:lang w:val="en-US" w:eastAsia="zh-CN" w:bidi="ar"/>
              </w:rPr>
              <w:t xml:space="preserve"> п/п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W w:w="2560" w:type="dxa"/>
            <w:tcBorders>
              <w:top w:val="single" w:color="000000" w:sz="2" w:space="0"/>
              <w:left w:val="none" w:color="000000" w:sz="4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  <w:lang w:val="en-US" w:eastAsia="zh-CN" w:bidi="ar"/>
              </w:rPr>
              <w:t xml:space="preserve">Задачи</w:t>
            </w:r>
            <w:r>
              <w:rPr>
                <w:color w:val="000000"/>
                <w:lang w:val="en-US" w:eastAsia="zh-CN" w:bidi="ar"/>
              </w:rPr>
              <w:t xml:space="preserve"> </w:t>
            </w:r>
            <w:r>
              <w:rPr>
                <w:color w:val="000000"/>
                <w:lang w:val="en-US" w:eastAsia="zh-CN" w:bidi="ar"/>
              </w:rPr>
              <w:t xml:space="preserve">структурного</w:t>
            </w:r>
            <w:r>
              <w:rPr>
                <w:color w:val="000000"/>
                <w:lang w:val="en-US" w:eastAsia="zh-CN" w:bidi="ar"/>
              </w:rPr>
              <w:t xml:space="preserve"> </w:t>
            </w:r>
            <w:r>
              <w:rPr>
                <w:color w:val="000000"/>
                <w:lang w:val="en-US" w:eastAsia="zh-CN" w:bidi="ar"/>
              </w:rPr>
              <w:t xml:space="preserve">элемента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W w:w="3511" w:type="dxa"/>
            <w:tcBorders>
              <w:top w:val="single" w:color="000000" w:sz="2" w:space="0"/>
              <w:left w:val="none" w:color="000000" w:sz="4" w:space="0"/>
              <w:bottom w:val="single" w:color="000000" w:sz="2" w:space="0"/>
              <w:right w:val="single" w:color="000000" w:sz="2" w:space="0"/>
            </w:tcBorders>
            <w:noWrap w:val="false"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  <w:lang w:eastAsia="zh-CN" w:bidi="ar"/>
              </w:rPr>
              <w:t xml:space="preserve">Краткое описание ожидаемых эффектов от реализации задачи структурного элемента  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W w:w="2739" w:type="dxa"/>
            <w:tcBorders>
              <w:top w:val="single" w:color="000000" w:sz="2" w:space="0"/>
              <w:left w:val="none" w:color="000000" w:sz="4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  <w:lang w:val="en-US" w:eastAsia="zh-CN" w:bidi="ar"/>
              </w:rPr>
              <w:t xml:space="preserve">Связь</w:t>
            </w:r>
            <w:r>
              <w:rPr>
                <w:color w:val="000000"/>
                <w:lang w:val="en-US" w:eastAsia="zh-CN" w:bidi="ar"/>
              </w:rPr>
              <w:t xml:space="preserve"> с </w:t>
            </w:r>
            <w:r>
              <w:rPr>
                <w:color w:val="000000"/>
                <w:lang w:val="en-US" w:eastAsia="zh-CN" w:bidi="ar"/>
              </w:rPr>
              <w:t xml:space="preserve">показателями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</w:tr>
      <w:tr>
        <w:trPr>
          <w:jc w:val="center"/>
          <w:trHeight w:val="300"/>
          <w:tblHeader/>
        </w:trPr>
        <w:tblPrEx/>
        <w:tc>
          <w:tcPr>
            <w:tcW w:w="732" w:type="dxa"/>
            <w:tcBorders>
              <w:top w:val="none" w:color="000000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  <w:lang w:val="en-US" w:eastAsia="zh-CN" w:bidi="ar"/>
              </w:rPr>
              <w:t xml:space="preserve">1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W w:w="2560" w:type="dxa"/>
            <w:tcBorders>
              <w:top w:val="single" w:color="000000" w:sz="2" w:space="0"/>
              <w:left w:val="none" w:color="000000" w:sz="4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  <w:lang w:val="en-US" w:eastAsia="zh-CN" w:bidi="ar"/>
              </w:rPr>
              <w:t xml:space="preserve">2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W w:w="3511" w:type="dxa"/>
            <w:tcBorders>
              <w:top w:val="single" w:color="000000" w:sz="2" w:space="0"/>
              <w:left w:val="none" w:color="000000" w:sz="4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  <w:lang w:val="en-US" w:eastAsia="zh-CN" w:bidi="ar"/>
              </w:rPr>
              <w:t xml:space="preserve">3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W w:w="2739" w:type="dxa"/>
            <w:tcBorders>
              <w:top w:val="single" w:color="000000" w:sz="2" w:space="0"/>
              <w:left w:val="none" w:color="000000" w:sz="4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  <w:lang w:val="en-US" w:eastAsia="zh-CN" w:bidi="ar"/>
              </w:rPr>
              <w:t xml:space="preserve">4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</w:tr>
      <w:tr>
        <w:trPr>
          <w:jc w:val="center"/>
          <w:trHeight w:val="300"/>
        </w:trPr>
        <w:tblPrEx/>
        <w:tc>
          <w:tcPr>
            <w:tcW w:w="73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  <w:lang w:eastAsia="zh-CN" w:bidi="ar"/>
              </w:rPr>
              <w:t xml:space="preserve">3</w:t>
            </w:r>
            <w:r>
              <w:rPr>
                <w:color w:val="000000"/>
                <w:lang w:val="en-US" w:eastAsia="zh-CN" w:bidi="ar"/>
              </w:rPr>
              <w:t xml:space="preserve">.2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W w:w="8810" w:type="dxa"/>
            <w:gridSpan w:val="3"/>
            <w:tcBorders>
              <w:top w:val="single" w:color="000000" w:sz="2" w:space="0"/>
              <w:left w:val="none" w:color="000000" w:sz="4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  <w:lang w:eastAsia="zh-CN" w:bidi="ar"/>
              </w:rPr>
              <w:t xml:space="preserve">Комплекс процессных мероприятий «Выравнивание бюджетной обеспеченности  и обеспечение сбалансированности бюджетов поселений в границах Белоярского района»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</w:tr>
      <w:tr>
        <w:trPr>
          <w:jc w:val="center"/>
          <w:trHeight w:val="300"/>
        </w:trPr>
        <w:tblPrEx/>
        <w:tc>
          <w:tcPr>
            <w:tcW w:w="732" w:type="dxa"/>
            <w:tcBorders>
              <w:top w:val="none" w:color="000000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  <w:lang w:val="en-US" w:eastAsia="zh-CN" w:bidi="ar"/>
              </w:rPr>
              <w:t xml:space="preserve"> 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W w:w="2560" w:type="dxa"/>
            <w:tcBorders>
              <w:top w:val="single" w:color="000000" w:sz="2" w:space="0"/>
              <w:left w:val="none" w:color="000000" w:sz="4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  <w:lang w:eastAsia="zh-CN" w:bidi="ar"/>
              </w:rPr>
              <w:t xml:space="preserve">Ответственный за реализацию:  Комитет по финансам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W w:w="3511" w:type="dxa"/>
            <w:tcBorders>
              <w:top w:val="single" w:color="000000" w:sz="2" w:space="0"/>
              <w:left w:val="none" w:color="000000" w:sz="4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center"/>
          </w:tcPr>
          <w:p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  <w:lang w:val="en-US" w:eastAsia="zh-CN" w:bidi="ar"/>
              </w:rPr>
              <w:t xml:space="preserve">Срок</w:t>
            </w:r>
            <w:r>
              <w:rPr>
                <w:color w:val="000000"/>
                <w:lang w:val="en-US" w:eastAsia="zh-CN" w:bidi="ar"/>
              </w:rPr>
              <w:t xml:space="preserve"> </w:t>
            </w:r>
            <w:r>
              <w:rPr>
                <w:color w:val="000000"/>
                <w:lang w:val="en-US" w:eastAsia="zh-CN" w:bidi="ar"/>
              </w:rPr>
              <w:t xml:space="preserve">реализации</w:t>
            </w:r>
            <w:r>
              <w:rPr>
                <w:color w:val="000000"/>
                <w:lang w:val="en-US" w:eastAsia="zh-CN" w:bidi="ar"/>
              </w:rPr>
              <w:t xml:space="preserve">: 2025-2030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W w:w="2739" w:type="dxa"/>
            <w:tcBorders>
              <w:top w:val="single" w:color="000000" w:sz="2" w:space="0"/>
              <w:left w:val="none" w:color="000000" w:sz="4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  <w:lang w:val="en-US" w:eastAsia="zh-CN" w:bidi="ar"/>
              </w:rPr>
              <w:t xml:space="preserve"> 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</w:tr>
      <w:tr>
        <w:trPr>
          <w:jc w:val="center"/>
          <w:trHeight w:val="2475"/>
        </w:trPr>
        <w:tblPrEx/>
        <w:tc>
          <w:tcPr>
            <w:tcW w:w="732" w:type="dxa"/>
            <w:tcBorders>
              <w:top w:val="none" w:color="000000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  <w:lang w:eastAsia="zh-CN" w:bidi="ar"/>
              </w:rPr>
              <w:t xml:space="preserve">3</w:t>
            </w:r>
            <w:r>
              <w:rPr>
                <w:color w:val="000000"/>
                <w:lang w:val="en-US" w:eastAsia="zh-CN" w:bidi="ar"/>
              </w:rPr>
              <w:t xml:space="preserve">.2.1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W w:w="2560" w:type="dxa"/>
            <w:vMerge w:val="restar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false"/>
            <w:textDirection w:val="lrTb"/>
            <w:vAlign w:val="center"/>
          </w:tcPr>
          <w:p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  <w:lang w:eastAsia="zh-CN" w:bidi="ar"/>
              </w:rPr>
              <w:t xml:space="preserve">Поддержание устойчивости исполнения бюджетов поселений в границах Белоярского района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W w:w="3511" w:type="dxa"/>
            <w:tcBorders>
              <w:top w:val="single" w:color="000000" w:sz="2" w:space="0"/>
              <w:left w:val="none" w:color="000000" w:sz="4" w:space="0"/>
              <w:bottom w:val="single" w:color="000000" w:sz="2" w:space="0"/>
              <w:right w:val="single" w:color="000000" w:sz="2" w:space="0"/>
            </w:tcBorders>
            <w:noWrap w:val="false"/>
            <w:textDirection w:val="lrTb"/>
          </w:tcPr>
          <w:p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  <w:lang w:eastAsia="zh-CN" w:bidi="ar"/>
              </w:rPr>
              <w:t xml:space="preserve">Выравнивание финансовых возможностей и содействие сбалансированности местных бюджетов</w:t>
            </w:r>
            <w:r>
              <w:rPr>
                <w:color w:val="000000"/>
                <w:lang w:eastAsia="zh-CN" w:bidi="ar"/>
              </w:rPr>
              <w:t xml:space="preserve">, в том числе </w:t>
            </w:r>
            <w:r>
              <w:rPr>
                <w:color w:val="000000"/>
                <w:lang w:eastAsia="zh-CN" w:bidi="ar"/>
              </w:rPr>
              <w:t xml:space="preserve">в</w:t>
            </w:r>
            <w:r>
              <w:rPr>
                <w:color w:val="000000"/>
                <w:lang w:eastAsia="zh-CN" w:bidi="ar"/>
              </w:rPr>
              <w:t xml:space="preserve">ыравнивание бюджетной обеспеченности и сокращение разрыва в уровне бюджетной обеспеченности  поселений в границах Белоярского района.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W w:w="2739" w:type="dxa"/>
            <w:tcBorders>
              <w:top w:val="single" w:color="000000" w:sz="2" w:space="0"/>
              <w:left w:val="none" w:color="000000" w:sz="4" w:space="0"/>
              <w:bottom w:val="single" w:color="000000" w:sz="2" w:space="0"/>
              <w:right w:val="single" w:color="000000" w:sz="2" w:space="0"/>
            </w:tcBorders>
            <w:noWrap w:val="false"/>
            <w:textDirection w:val="lrTb"/>
          </w:tcPr>
          <w:p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  <w:lang w:eastAsia="zh-CN" w:bidi="ar"/>
              </w:rPr>
              <w:t xml:space="preserve">Доля поселений Белоярского района, уровень расчетной бюджетной обеспеченности которых после предоставления дотации на выравнивание бюджетной обеспеченности из бюджета Белоярского района составляет более 90% от установленного критерия выравнивания поселений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</w:tr>
      <w:tr>
        <w:trPr>
          <w:jc w:val="center"/>
          <w:trHeight w:val="960"/>
        </w:trPr>
        <w:tblPrEx/>
        <w:tc>
          <w:tcPr>
            <w:tcW w:w="732" w:type="dxa"/>
            <w:tcBorders>
              <w:top w:val="none" w:color="000000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  <w:lang w:eastAsia="zh-CN" w:bidi="ar"/>
              </w:rPr>
              <w:t xml:space="preserve">3</w:t>
            </w:r>
            <w:r>
              <w:rPr>
                <w:color w:val="000000"/>
                <w:lang w:val="en-US" w:eastAsia="zh-CN" w:bidi="ar"/>
              </w:rPr>
              <w:t xml:space="preserve">.2.2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W w:w="2560" w:type="dxa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false"/>
            <w:textDirection w:val="lrTb"/>
            <w:vAlign w:val="center"/>
          </w:tcPr>
          <w:p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W w:w="3511" w:type="dxa"/>
            <w:tcBorders>
              <w:top w:val="single" w:color="000000" w:sz="2" w:space="0"/>
              <w:left w:val="none" w:color="000000" w:sz="4" w:space="0"/>
              <w:bottom w:val="single" w:color="000000" w:sz="2" w:space="0"/>
              <w:right w:val="single" w:color="000000" w:sz="2" w:space="0"/>
            </w:tcBorders>
            <w:noWrap w:val="false"/>
            <w:textDirection w:val="lrTb"/>
          </w:tcPr>
          <w:p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  <w:lang w:eastAsia="zh-CN" w:bidi="ar"/>
              </w:rPr>
              <w:t xml:space="preserve">Обеспечение сбалансированности бюджетов поселений в границах Белоярского района, предоставление межбюджетных трансфертов на обеспечение сбалансированности бюджетов поселений в границах Белоярского района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W w:w="2739" w:type="dxa"/>
            <w:tcBorders>
              <w:top w:val="single" w:color="000000" w:sz="2" w:space="0"/>
              <w:left w:val="none" w:color="000000" w:sz="4" w:space="0"/>
              <w:bottom w:val="single" w:color="000000" w:sz="2" w:space="0"/>
              <w:right w:val="single" w:color="000000" w:sz="2" w:space="0"/>
            </w:tcBorders>
            <w:noWrap w:val="false"/>
            <w:textDirection w:val="lrTb"/>
          </w:tcPr>
          <w:p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  <w:lang w:val="en-US" w:eastAsia="zh-CN" w:bidi="ar"/>
              </w:rPr>
              <w:t xml:space="preserve">-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</w:tr>
    </w:tbl>
    <w:p>
      <w:pPr>
        <w:spacing w:after="0" w:line="240" w:lineRule="auto"/>
        <w:ind w:firstLine="709"/>
        <w:jc w:val="right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 xml:space="preserve">»;</w:t>
      </w:r>
      <w:r>
        <w:rPr>
          <w:rFonts w:eastAsia="Times New Roman"/>
          <w:sz w:val="24"/>
          <w:szCs w:val="24"/>
          <w:lang w:eastAsia="ru-RU"/>
        </w:rPr>
      </w:r>
      <w:r>
        <w:rPr>
          <w:rFonts w:eastAsia="Times New Roman"/>
          <w:sz w:val="24"/>
          <w:szCs w:val="24"/>
          <w:lang w:eastAsia="ru-RU"/>
        </w:rPr>
      </w:r>
    </w:p>
    <w:p>
      <w:pPr>
        <w:numPr>
          <w:numId w:val="1"/>
          <w:ilvl w:val="0"/>
        </w:num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 xml:space="preserve">раздел 4 «Финансовое обеспечение муниципальной программы» Паспорта муниципальной программы изложить в редакции согласно </w:t>
      </w:r>
      <w:r>
        <w:rPr>
          <w:rFonts w:eastAsia="Times New Roman"/>
          <w:sz w:val="24"/>
          <w:szCs w:val="24"/>
          <w:lang w:eastAsia="ru-RU"/>
        </w:rPr>
        <w:t xml:space="preserve">приложению</w:t>
      </w:r>
      <w:r>
        <w:rPr>
          <w:rFonts w:eastAsia="Times New Roman"/>
          <w:sz w:val="24"/>
          <w:szCs w:val="24"/>
          <w:lang w:eastAsia="ru-RU"/>
        </w:rPr>
        <w:t xml:space="preserve"> к настоящему постановлению.</w:t>
      </w:r>
      <w:r>
        <w:rPr>
          <w:rFonts w:eastAsia="Times New Roman"/>
          <w:sz w:val="24"/>
          <w:szCs w:val="24"/>
          <w:lang w:eastAsia="ru-RU"/>
        </w:rPr>
      </w:r>
      <w:r>
        <w:rPr>
          <w:rFonts w:eastAsia="Times New Roman"/>
          <w:sz w:val="24"/>
          <w:szCs w:val="24"/>
          <w:lang w:eastAsia="ru-RU"/>
        </w:rPr>
      </w:r>
    </w:p>
    <w:p>
      <w:pPr>
        <w:numPr>
          <w:numId w:val="1"/>
          <w:ilvl w:val="0"/>
        </w:num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 xml:space="preserve">позицию 8.1. раздела 4.1 «</w:t>
      </w:r>
      <w:r>
        <w:rPr>
          <w:rFonts w:eastAsia="Times New Roman"/>
          <w:sz w:val="24"/>
          <w:szCs w:val="24"/>
          <w:lang w:eastAsia="ru-RU"/>
        </w:rPr>
        <w:t xml:space="preserve">Перечень мероприятий муниципальной программы</w:t>
      </w:r>
      <w:r>
        <w:rPr>
          <w:rFonts w:eastAsia="Times New Roman"/>
          <w:sz w:val="24"/>
          <w:szCs w:val="24"/>
          <w:lang w:eastAsia="ru-RU"/>
        </w:rPr>
        <w:t xml:space="preserve">» Паспорта муниципальной программы изложить в следующей редакции:</w:t>
      </w:r>
      <w:r>
        <w:rPr>
          <w:rFonts w:eastAsia="Times New Roman"/>
          <w:sz w:val="24"/>
          <w:szCs w:val="24"/>
          <w:lang w:eastAsia="ru-RU"/>
        </w:rPr>
      </w:r>
      <w:r>
        <w:rPr>
          <w:rFonts w:eastAsia="Times New Roman"/>
          <w:sz w:val="24"/>
          <w:szCs w:val="24"/>
          <w:lang w:eastAsia="ru-RU"/>
        </w:rPr>
      </w:r>
    </w:p>
    <w:p>
      <w:p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 xml:space="preserve">«</w:t>
      </w:r>
      <w:r>
        <w:rPr>
          <w:rFonts w:eastAsia="Times New Roman"/>
          <w:sz w:val="24"/>
          <w:szCs w:val="24"/>
          <w:lang w:eastAsia="ru-RU"/>
        </w:rPr>
      </w:r>
      <w:r>
        <w:rPr>
          <w:rFonts w:eastAsia="Times New Roman"/>
          <w:sz w:val="24"/>
          <w:szCs w:val="24"/>
          <w:lang w:eastAsia="ru-RU"/>
        </w:rPr>
      </w:r>
    </w:p>
    <w:tbl>
      <w:tblPr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1843"/>
        <w:gridCol w:w="3844"/>
        <w:gridCol w:w="3809"/>
      </w:tblGrid>
      <w:tr>
        <w:trPr>
          <w:trHeight w:val="1770"/>
          <w:tblHeader/>
        </w:trPr>
        <w:tblPrEx/>
        <w:tc>
          <w:tcPr>
            <w:tcW w:w="1843" w:type="dxa"/>
            <w:noWrap w:val="false"/>
            <w:textDirection w:val="lrTb"/>
            <w:vAlign w:val="center"/>
          </w:tcPr>
          <w:p>
            <w:pPr>
              <w:spacing w:after="0" w:line="240" w:lineRule="auto"/>
              <w:jc w:val="center"/>
            </w:pPr>
            <w:r>
              <w:t xml:space="preserve">№ мероприятия в соответствии с  разделом 4 паспорта муниципальной программы</w:t>
            </w:r>
          </w:p>
        </w:tc>
        <w:tc>
          <w:tcPr>
            <w:tcW w:w="3844" w:type="dxa"/>
            <w:noWrap w:val="false"/>
            <w:textDirection w:val="lrTb"/>
            <w:vAlign w:val="center"/>
          </w:tcPr>
          <w:p>
            <w:pPr>
              <w:spacing w:after="0" w:line="240" w:lineRule="auto"/>
              <w:jc w:val="center"/>
            </w:pPr>
            <w:r>
              <w:t xml:space="preserve">Наименование мероприятия</w:t>
            </w:r>
          </w:p>
        </w:tc>
        <w:tc>
          <w:tcPr>
            <w:tcW w:w="3809" w:type="dxa"/>
            <w:noWrap w:val="false"/>
            <w:textDirection w:val="lrTb"/>
            <w:vAlign w:val="center"/>
          </w:tcPr>
          <w:p>
            <w:pPr>
              <w:spacing w:after="0" w:line="240" w:lineRule="auto"/>
              <w:jc w:val="center"/>
            </w:pPr>
            <w:r>
              <w:t xml:space="preserve">Содержание мероприятия</w:t>
            </w:r>
          </w:p>
        </w:tc>
      </w:tr>
      <w:tr>
        <w:trPr/>
        <w:tblPrEx/>
        <w:tc>
          <w:tcPr>
            <w:tcW w:w="1843" w:type="dxa"/>
            <w:noWrap w:val="false"/>
            <w:textDirection w:val="lrTb"/>
          </w:tcPr>
          <w:p>
            <w:pPr>
              <w:spacing w:after="0" w:line="240" w:lineRule="auto"/>
              <w:jc w:val="center"/>
            </w:pPr>
            <w:r>
              <w:t xml:space="preserve">8.1</w:t>
            </w:r>
          </w:p>
        </w:tc>
        <w:tc>
          <w:tcPr>
            <w:tcW w:w="3844" w:type="dxa"/>
            <w:noWrap w:val="false"/>
            <w:textDirection w:val="lrTb"/>
          </w:tcPr>
          <w:p>
            <w:pPr>
              <w:spacing w:after="0" w:line="240" w:lineRule="auto"/>
              <w:rPr>
                <w:lang w:eastAsia="zh-CN" w:bidi="ar"/>
              </w:rPr>
            </w:pPr>
            <w:r>
              <w:t xml:space="preserve">«Выравнивание финансовых возможностей и содействие сбалансированности местных бюджетов»</w:t>
            </w:r>
            <w:r>
              <w:rPr>
                <w:lang w:eastAsia="zh-CN" w:bidi="ar"/>
              </w:rPr>
            </w:r>
            <w:r>
              <w:rPr>
                <w:lang w:eastAsia="zh-CN" w:bidi="ar"/>
              </w:rPr>
            </w:r>
          </w:p>
        </w:tc>
        <w:tc>
          <w:tcPr>
            <w:tcW w:w="3809" w:type="dxa"/>
            <w:noWrap w:val="false"/>
            <w:textDirection w:val="lrTb"/>
          </w:tcPr>
          <w:p>
            <w:pPr>
              <w:spacing w:after="0" w:line="240" w:lineRule="auto"/>
              <w:jc w:val="both"/>
            </w:pPr>
            <w:r>
              <w:t xml:space="preserve">Расчет, организация распределения дотаций на выравнивание бюджетной обеспеченности поселений </w:t>
            </w:r>
            <w:r>
              <w:rPr>
                <w:color w:val="000000"/>
                <w:lang w:eastAsia="zh-CN" w:bidi="ar"/>
              </w:rPr>
              <w:t xml:space="preserve">границах Белоярского района</w:t>
            </w:r>
            <w:r>
              <w:t xml:space="preserve"> из бюджета Белоярского района</w:t>
            </w:r>
          </w:p>
        </w:tc>
      </w:tr>
    </w:tbl>
    <w:p>
      <w:pPr>
        <w:spacing w:after="0" w:line="240" w:lineRule="auto"/>
        <w:jc w:val="right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 xml:space="preserve">»;</w:t>
      </w:r>
      <w:r>
        <w:rPr>
          <w:rFonts w:eastAsia="Times New Roman"/>
          <w:sz w:val="24"/>
          <w:szCs w:val="24"/>
          <w:lang w:eastAsia="ru-RU"/>
        </w:rPr>
      </w:r>
      <w:r>
        <w:rPr>
          <w:rFonts w:eastAsia="Times New Roman"/>
          <w:sz w:val="24"/>
          <w:szCs w:val="24"/>
          <w:lang w:eastAsia="ru-RU"/>
        </w:rPr>
      </w:r>
    </w:p>
    <w:p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 xml:space="preserve">2. Опубликовать настоящее постановление в газете «Белоярские вести. Официальный выпуск».</w:t>
      </w:r>
      <w:r>
        <w:rPr>
          <w:rFonts w:eastAsia="Times New Roman"/>
          <w:sz w:val="24"/>
          <w:szCs w:val="24"/>
          <w:lang w:eastAsia="ru-RU"/>
        </w:rPr>
      </w:r>
      <w:r>
        <w:rPr>
          <w:rFonts w:eastAsia="Times New Roman"/>
          <w:sz w:val="24"/>
          <w:szCs w:val="24"/>
          <w:lang w:eastAsia="ru-RU"/>
        </w:rPr>
      </w:r>
    </w:p>
    <w:p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 xml:space="preserve">3. Настоящее постановление вступает в силу после его официального опубликования.</w:t>
      </w:r>
      <w:r>
        <w:rPr>
          <w:rFonts w:eastAsia="Times New Roman"/>
          <w:sz w:val="24"/>
          <w:szCs w:val="24"/>
          <w:lang w:eastAsia="ru-RU"/>
        </w:rPr>
      </w:r>
      <w:r>
        <w:rPr>
          <w:rFonts w:eastAsia="Times New Roman"/>
          <w:sz w:val="24"/>
          <w:szCs w:val="24"/>
          <w:lang w:eastAsia="ru-RU"/>
        </w:rPr>
      </w:r>
    </w:p>
    <w:p>
      <w:pPr>
        <w:spacing w:after="0" w:line="240" w:lineRule="auto"/>
        <w:ind w:firstLine="709"/>
        <w:jc w:val="both"/>
        <w:rPr>
          <w:rFonts w:eastAsia="Times New Roman"/>
          <w:b/>
          <w:bCs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 xml:space="preserve">4. Контроль за выполнением постановления возложить на заместителя главы Белоярского района, председателя Комитета по финансам и налоговой политике администрации Белоярского района И.А. Плохих.</w:t>
      </w:r>
      <w:r>
        <w:rPr>
          <w:rFonts w:eastAsia="Times New Roman"/>
          <w:b/>
          <w:bCs/>
          <w:sz w:val="24"/>
          <w:szCs w:val="24"/>
          <w:lang w:eastAsia="ru-RU"/>
        </w:rPr>
      </w:r>
      <w:r>
        <w:rPr>
          <w:rFonts w:eastAsia="Times New Roman"/>
          <w:b/>
          <w:bCs/>
          <w:sz w:val="24"/>
          <w:szCs w:val="24"/>
          <w:lang w:eastAsia="ru-RU"/>
        </w:rPr>
      </w:r>
    </w:p>
    <w:p>
      <w:pPr>
        <w:spacing w:after="0" w:line="240" w:lineRule="auto"/>
        <w:ind w:firstLine="0"/>
        <w:jc w:val="both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</w:r>
      <w:r>
        <w:rPr>
          <w:rFonts w:eastAsia="Times New Roman"/>
          <w:sz w:val="24"/>
          <w:szCs w:val="24"/>
          <w:lang w:eastAsia="ru-RU"/>
        </w:rPr>
      </w:r>
      <w:r>
        <w:rPr>
          <w:rFonts w:eastAsia="Times New Roman"/>
          <w:sz w:val="24"/>
          <w:szCs w:val="24"/>
          <w:lang w:eastAsia="ru-RU"/>
        </w:rPr>
      </w:r>
    </w:p>
    <w:p>
      <w:pPr>
        <w:spacing w:after="0" w:line="240" w:lineRule="auto"/>
        <w:ind w:firstLine="0"/>
        <w:jc w:val="both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</w:r>
      <w:r>
        <w:rPr>
          <w:rFonts w:eastAsia="Times New Roman"/>
          <w:sz w:val="24"/>
          <w:szCs w:val="24"/>
          <w:lang w:eastAsia="ru-RU"/>
        </w:rPr>
      </w:r>
      <w:r>
        <w:rPr>
          <w:rFonts w:eastAsia="Times New Roman"/>
          <w:sz w:val="24"/>
          <w:szCs w:val="24"/>
          <w:lang w:eastAsia="ru-RU"/>
        </w:rPr>
      </w:r>
    </w:p>
    <w:p>
      <w:pPr>
        <w:tabs>
          <w:tab w:val="left" w:pos="720" w:leader="none"/>
        </w:tabs>
        <w:spacing w:after="0" w:line="240" w:lineRule="auto"/>
        <w:rPr>
          <w:rFonts w:eastAsia="Times New Roman"/>
          <w:sz w:val="24"/>
          <w:szCs w:val="24"/>
          <w:lang w:eastAsia="ru-RU"/>
        </w:rPr>
        <w:sectPr>
          <w:headerReference w:type="default" r:id="rId9"/>
          <w:footnotePr/>
          <w:endnotePr/>
          <w:type w:val="nextPage"/>
          <w:pgSz w:w="11906" w:h="16838" w:orient="portrait"/>
          <w:pgMar w:top="850" w:right="851" w:bottom="964" w:left="1559" w:header="709" w:footer="709" w:gutter="0"/>
          <w:pgNumType w:start="1"/>
          <w:cols w:num="1" w:sep="0" w:space="720" w:equalWidth="1"/>
          <w:docGrid w:linePitch="360"/>
          <w:titlePg/>
        </w:sectPr>
      </w:pPr>
      <w:r>
        <w:rPr>
          <w:rFonts w:eastAsia="Times New Roman"/>
          <w:sz w:val="24"/>
          <w:szCs w:val="24"/>
          <w:lang w:eastAsia="ru-RU"/>
        </w:rPr>
        <w:t xml:space="preserve">Глава Белоярского района                                                                                        </w:t>
      </w:r>
      <w:r>
        <w:rPr>
          <w:rFonts w:eastAsia="Times New Roman"/>
          <w:sz w:val="24"/>
          <w:szCs w:val="24"/>
          <w:lang w:eastAsia="ru-RU"/>
        </w:rPr>
        <w:t xml:space="preserve">С.П.Маненков</w:t>
      </w:r>
      <w:r>
        <w:rPr>
          <w:rFonts w:eastAsia="Times New Roman"/>
          <w:sz w:val="24"/>
          <w:szCs w:val="24"/>
          <w:lang w:eastAsia="ru-RU"/>
        </w:rPr>
      </w:r>
      <w:r>
        <w:rPr>
          <w:rFonts w:eastAsia="Times New Roman"/>
          <w:sz w:val="24"/>
          <w:szCs w:val="24"/>
          <w:lang w:eastAsia="ru-RU"/>
        </w:rPr>
      </w:r>
    </w:p>
    <w:tbl>
      <w:tblPr>
        <w:tblW w:w="5812" w:type="dxa"/>
        <w:tblInd w:w="9180" w:type="dxa"/>
        <w:tblLook w:val="04A0" w:firstRow="1" w:lastRow="0" w:firstColumn="1" w:lastColumn="0" w:noHBand="0" w:noVBand="1"/>
      </w:tblPr>
      <w:tblGrid>
        <w:gridCol w:w="5812"/>
      </w:tblGrid>
      <w:tr>
        <w:trPr/>
        <w:tblPrEx/>
        <w:tc>
          <w:tcPr>
            <w:tcW w:w="5812" w:type="dxa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noWrap w:val="false"/>
            <w:textDirection w:val="lrTb"/>
          </w:tcPr>
          <w:p>
            <w:pPr>
              <w:tabs>
                <w:tab w:val="left" w:pos="-249" w:leader="none"/>
              </w:tabs>
              <w:spacing w:after="0" w:line="240" w:lineRule="auto"/>
              <w:jc w:val="right"/>
              <w:rPr>
                <w:rFonts w:eastAsia="Times New Roman"/>
                <w:sz w:val="24"/>
                <w:szCs w:val="24"/>
                <w:lang w:val="en-US"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ПРИЛОЖЕНИЕ</w:t>
            </w:r>
            <w:r>
              <w:rPr>
                <w:rFonts w:eastAsia="Times New Roman"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/>
                <w:sz w:val="24"/>
                <w:szCs w:val="24"/>
                <w:lang w:val="en-US" w:eastAsia="ru-RU"/>
              </w:rPr>
            </w:r>
            <w:r>
              <w:rPr>
                <w:rFonts w:eastAsia="Times New Roman"/>
                <w:sz w:val="24"/>
                <w:szCs w:val="24"/>
                <w:lang w:val="en-US" w:eastAsia="ru-RU"/>
              </w:rPr>
            </w:r>
          </w:p>
        </w:tc>
      </w:tr>
      <w:tr>
        <w:trPr/>
        <w:tblPrEx/>
        <w:tc>
          <w:tcPr>
            <w:tcW w:w="5812" w:type="dxa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noWrap w:val="false"/>
            <w:textDirection w:val="lrTb"/>
          </w:tcPr>
          <w:p>
            <w:pPr>
              <w:tabs>
                <w:tab w:val="left" w:pos="-249" w:leader="none"/>
              </w:tabs>
              <w:spacing w:after="0" w:line="240" w:lineRule="auto"/>
              <w:ind w:left="-108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к постановлению администрации</w:t>
            </w:r>
            <w:r>
              <w:rPr>
                <w:rFonts w:eastAsia="Times New Roman"/>
                <w:sz w:val="24"/>
                <w:szCs w:val="24"/>
                <w:lang w:eastAsia="ru-RU"/>
              </w:rPr>
            </w:r>
            <w:r>
              <w:rPr>
                <w:rFonts w:eastAsia="Times New Roman"/>
                <w:sz w:val="24"/>
                <w:szCs w:val="24"/>
                <w:lang w:eastAsia="ru-RU"/>
              </w:rPr>
            </w:r>
          </w:p>
          <w:p>
            <w:pPr>
              <w:tabs>
                <w:tab w:val="left" w:pos="-249" w:leader="none"/>
              </w:tabs>
              <w:spacing w:after="0" w:line="240" w:lineRule="auto"/>
              <w:ind w:left="-108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Белоярского района</w:t>
            </w:r>
            <w:r>
              <w:rPr>
                <w:rFonts w:eastAsia="Times New Roman"/>
                <w:sz w:val="24"/>
                <w:szCs w:val="24"/>
                <w:lang w:eastAsia="ru-RU"/>
              </w:rPr>
            </w:r>
            <w:r>
              <w:rPr>
                <w:rFonts w:eastAsia="Times New Roman"/>
                <w:sz w:val="24"/>
                <w:szCs w:val="24"/>
                <w:lang w:eastAsia="ru-RU"/>
              </w:rPr>
            </w:r>
          </w:p>
          <w:p>
            <w:pPr>
              <w:tabs>
                <w:tab w:val="left" w:pos="-249" w:leader="none"/>
              </w:tabs>
              <w:spacing w:after="0" w:line="240" w:lineRule="auto"/>
              <w:ind w:left="-108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от 29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 декабря 2025 года № 921</w:t>
            </w:r>
            <w:r>
              <w:rPr>
                <w:rFonts w:eastAsia="Times New Roman"/>
                <w:sz w:val="24"/>
                <w:szCs w:val="24"/>
                <w:lang w:eastAsia="ru-RU"/>
              </w:rPr>
            </w:r>
            <w:r>
              <w:rPr>
                <w:rFonts w:eastAsia="Times New Roman"/>
                <w:sz w:val="24"/>
                <w:szCs w:val="24"/>
                <w:lang w:eastAsia="ru-RU"/>
              </w:rPr>
            </w:r>
          </w:p>
        </w:tc>
      </w:tr>
    </w:tbl>
    <w:p>
      <w:pPr>
        <w:spacing w:after="0" w:line="240" w:lineRule="auto"/>
        <w:jc w:val="right"/>
        <w:rPr>
          <w:highlight w:val="yellow"/>
        </w:rPr>
      </w:pPr>
      <w:r>
        <w:rPr>
          <w:highlight w:val="yellow"/>
        </w:rPr>
      </w:r>
      <w:r>
        <w:rPr>
          <w:highlight w:val="yellow"/>
        </w:rPr>
      </w:r>
      <w:r>
        <w:rPr>
          <w:highlight w:val="yellow"/>
        </w:rPr>
      </w:r>
    </w:p>
    <w:p>
      <w:pPr>
        <w:spacing w:after="0" w:line="240" w:lineRule="auto"/>
        <w:ind w:right="-29"/>
        <w:jc w:val="center"/>
        <w:rPr>
          <w:rFonts w:eastAsia="Times New Roman"/>
          <w:color w:val="000000"/>
          <w:sz w:val="24"/>
          <w:szCs w:val="24"/>
          <w:lang w:eastAsia="ru-RU"/>
        </w:rPr>
      </w:pPr>
      <w:r>
        <w:rPr>
          <w:rFonts w:eastAsia="Times New Roman"/>
          <w:color w:val="000000"/>
          <w:sz w:val="24"/>
          <w:szCs w:val="24"/>
          <w:lang w:eastAsia="ru-RU"/>
        </w:rPr>
      </w:r>
      <w:r>
        <w:rPr>
          <w:rFonts w:eastAsia="Times New Roman"/>
          <w:color w:val="000000"/>
          <w:sz w:val="24"/>
          <w:szCs w:val="24"/>
          <w:lang w:eastAsia="ru-RU"/>
        </w:rPr>
      </w:r>
      <w:r>
        <w:rPr>
          <w:rFonts w:eastAsia="Times New Roman"/>
          <w:color w:val="000000"/>
          <w:sz w:val="24"/>
          <w:szCs w:val="24"/>
          <w:lang w:eastAsia="ru-RU"/>
        </w:rPr>
      </w:r>
    </w:p>
    <w:p>
      <w:pPr>
        <w:spacing w:after="0" w:line="240" w:lineRule="auto"/>
        <w:ind w:right="-29"/>
        <w:jc w:val="center"/>
        <w:rPr>
          <w:rFonts w:eastAsia="Times New Roman"/>
          <w:color w:val="000000"/>
          <w:sz w:val="24"/>
          <w:szCs w:val="24"/>
          <w:lang w:eastAsia="ru-RU"/>
        </w:rPr>
      </w:pPr>
      <w:r>
        <w:rPr>
          <w:rFonts w:eastAsia="Times New Roman"/>
          <w:color w:val="000000"/>
          <w:sz w:val="24"/>
          <w:szCs w:val="24"/>
          <w:lang w:eastAsia="ru-RU"/>
        </w:rPr>
        <w:t xml:space="preserve">И З М Е Н Е Н И Я,</w:t>
      </w:r>
      <w:r>
        <w:rPr>
          <w:rFonts w:eastAsia="Times New Roman"/>
          <w:color w:val="000000"/>
          <w:sz w:val="24"/>
          <w:szCs w:val="24"/>
          <w:lang w:eastAsia="ru-RU"/>
        </w:rPr>
      </w:r>
      <w:r>
        <w:rPr>
          <w:rFonts w:eastAsia="Times New Roman"/>
          <w:color w:val="000000"/>
          <w:sz w:val="24"/>
          <w:szCs w:val="24"/>
          <w:lang w:eastAsia="ru-RU"/>
        </w:rPr>
      </w:r>
    </w:p>
    <w:p>
      <w:pPr>
        <w:spacing w:after="0" w:line="240" w:lineRule="auto"/>
        <w:ind w:right="-29"/>
        <w:jc w:val="center"/>
        <w:rPr>
          <w:rFonts w:eastAsia="Times New Roman"/>
          <w:color w:val="000000"/>
          <w:sz w:val="24"/>
          <w:szCs w:val="24"/>
          <w:lang w:eastAsia="ru-RU"/>
        </w:rPr>
      </w:pPr>
      <w:r>
        <w:rPr>
          <w:rFonts w:eastAsia="Times New Roman"/>
          <w:color w:val="000000"/>
          <w:sz w:val="24"/>
          <w:szCs w:val="24"/>
          <w:lang w:eastAsia="ru-RU"/>
        </w:rPr>
        <w:t xml:space="preserve">вносимые в раздел 4 Паспорта муниципальной программы Белоярского района</w:t>
      </w:r>
      <w:r>
        <w:rPr>
          <w:rFonts w:eastAsia="Times New Roman"/>
          <w:color w:val="000000"/>
          <w:sz w:val="24"/>
          <w:szCs w:val="24"/>
          <w:lang w:eastAsia="ru-RU"/>
        </w:rPr>
      </w:r>
      <w:r>
        <w:rPr>
          <w:rFonts w:eastAsia="Times New Roman"/>
          <w:color w:val="000000"/>
          <w:sz w:val="24"/>
          <w:szCs w:val="24"/>
          <w:lang w:eastAsia="ru-RU"/>
        </w:rPr>
      </w:r>
    </w:p>
    <w:p>
      <w:pPr>
        <w:spacing w:after="0" w:line="240" w:lineRule="auto"/>
        <w:ind w:right="-29"/>
        <w:jc w:val="center"/>
        <w:rPr>
          <w:rFonts w:eastAsia="Times New Roman"/>
          <w:color w:val="000000"/>
          <w:sz w:val="24"/>
          <w:szCs w:val="24"/>
          <w:lang w:eastAsia="ru-RU"/>
        </w:rPr>
      </w:pPr>
      <w:r>
        <w:rPr>
          <w:rFonts w:eastAsia="Times New Roman"/>
          <w:color w:val="000000"/>
          <w:sz w:val="24"/>
          <w:szCs w:val="24"/>
          <w:lang w:eastAsia="ru-RU"/>
        </w:rPr>
        <w:t xml:space="preserve">«Управление муниципальными финансами в Белоярском районе»</w:t>
      </w:r>
      <w:r>
        <w:rPr>
          <w:rFonts w:eastAsia="Times New Roman"/>
          <w:color w:val="000000"/>
          <w:sz w:val="24"/>
          <w:szCs w:val="24"/>
          <w:lang w:eastAsia="ru-RU"/>
        </w:rPr>
      </w:r>
      <w:r>
        <w:rPr>
          <w:rFonts w:eastAsia="Times New Roman"/>
          <w:color w:val="000000"/>
          <w:sz w:val="24"/>
          <w:szCs w:val="24"/>
          <w:lang w:eastAsia="ru-RU"/>
        </w:rPr>
      </w:r>
    </w:p>
    <w:p>
      <w:pPr>
        <w:spacing w:after="0" w:line="240" w:lineRule="auto"/>
        <w:ind w:right="-29"/>
        <w:jc w:val="center"/>
        <w:rPr>
          <w:rFonts w:eastAsia="Times New Roman"/>
          <w:color w:val="000000"/>
          <w:sz w:val="24"/>
          <w:szCs w:val="24"/>
          <w:lang w:eastAsia="ru-RU"/>
        </w:rPr>
      </w:pPr>
      <w:r>
        <w:rPr>
          <w:rFonts w:eastAsia="Times New Roman"/>
          <w:color w:val="000000"/>
          <w:sz w:val="24"/>
          <w:szCs w:val="24"/>
          <w:lang w:eastAsia="ru-RU"/>
        </w:rPr>
      </w:r>
      <w:r>
        <w:rPr>
          <w:rFonts w:eastAsia="Times New Roman"/>
          <w:color w:val="000000"/>
          <w:sz w:val="24"/>
          <w:szCs w:val="24"/>
          <w:lang w:eastAsia="ru-RU"/>
        </w:rPr>
      </w:r>
      <w:r>
        <w:rPr>
          <w:rFonts w:eastAsia="Times New Roman"/>
          <w:color w:val="000000"/>
          <w:sz w:val="24"/>
          <w:szCs w:val="24"/>
          <w:lang w:eastAsia="ru-RU"/>
        </w:rPr>
      </w:r>
    </w:p>
    <w:p>
      <w:pPr>
        <w:spacing w:after="0" w:line="240" w:lineRule="auto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«4. Финансовое обеспечение муниципальной программы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spacing w:after="0" w:line="240" w:lineRule="auto"/>
        <w:ind w:right="-29"/>
        <w:jc w:val="center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</w:r>
      <w:r>
        <w:rPr>
          <w:rFonts w:eastAsia="Times New Roman"/>
          <w:sz w:val="24"/>
          <w:szCs w:val="24"/>
          <w:lang w:eastAsia="ru-RU"/>
        </w:rPr>
      </w:r>
      <w:r>
        <w:rPr>
          <w:rFonts w:eastAsia="Times New Roman"/>
          <w:sz w:val="24"/>
          <w:szCs w:val="24"/>
          <w:lang w:eastAsia="ru-RU"/>
        </w:rPr>
      </w:r>
    </w:p>
    <w:tbl>
      <w:tblPr>
        <w:tblW w:w="14440" w:type="dxa"/>
        <w:tblInd w:w="91" w:type="dxa"/>
        <w:tblLook w:val="04A0" w:firstRow="1" w:lastRow="0" w:firstColumn="1" w:lastColumn="0" w:noHBand="0" w:noVBand="1"/>
      </w:tblPr>
      <w:tblGrid>
        <w:gridCol w:w="980"/>
        <w:gridCol w:w="5759"/>
        <w:gridCol w:w="1078"/>
        <w:gridCol w:w="1078"/>
        <w:gridCol w:w="1078"/>
        <w:gridCol w:w="1077"/>
        <w:gridCol w:w="1077"/>
        <w:gridCol w:w="1077"/>
        <w:gridCol w:w="1236"/>
      </w:tblGrid>
      <w:tr>
        <w:trPr>
          <w:trHeight w:val="300"/>
          <w:tblHeader/>
        </w:trPr>
        <w:tblPrEx/>
        <w:tc>
          <w:tcPr>
            <w:tcW w:w="980" w:type="dxa"/>
            <w:vMerge w:val="restar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noWrap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 w:bidi="ar"/>
              </w:rPr>
              <w:t xml:space="preserve">N п/п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5759" w:type="dxa"/>
            <w:vMerge w:val="restar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noWrap w:val="false"/>
            <w:textDirection w:val="lrTb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zh-CN" w:bidi="ar"/>
              </w:rPr>
              <w:t xml:space="preserve">Наименование муниципальной программы, структурного элемента, мероприятия (результата), источник финансового обеспечения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7701" w:type="dxa"/>
            <w:gridSpan w:val="7"/>
            <w:tcBorders>
              <w:top w:val="single" w:color="auto" w:sz="2" w:space="0"/>
              <w:left w:val="none" w:color="000000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zh-CN" w:bidi="ar"/>
              </w:rPr>
              <w:t xml:space="preserve">Объем финансового обеспечения по годам, тыс. рублей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rPr>
          <w:trHeight w:val="300"/>
          <w:tblHeader/>
        </w:trPr>
        <w:tblPrEx/>
        <w:tc>
          <w:tcPr>
            <w:tcW w:w="980" w:type="dxa"/>
            <w:vMerge w:val="continue"/>
            <w:tcBorders>
              <w:top w:val="single" w:color="auto" w:sz="2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  <w:shd w:val="clear" w:color="auto" w:fill="auto"/>
            <w:noWrap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5759" w:type="dxa"/>
            <w:vMerge w:val="continue"/>
            <w:tcBorders>
              <w:top w:val="single" w:color="auto" w:sz="2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  <w:shd w:val="clear" w:color="auto" w:fill="auto"/>
            <w:noWrap w:val="false"/>
            <w:textDirection w:val="lrTb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2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 w:bidi="ar"/>
              </w:rPr>
              <w:t xml:space="preserve">2025 </w:t>
            </w:r>
            <w:r>
              <w:rPr>
                <w:sz w:val="20"/>
                <w:szCs w:val="20"/>
                <w:lang w:val="en-US" w:eastAsia="zh-CN" w:bidi="ar"/>
              </w:rPr>
              <w:t xml:space="preserve">год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2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 w:bidi="ar"/>
              </w:rPr>
              <w:t xml:space="preserve">2026 </w:t>
            </w:r>
            <w:r>
              <w:rPr>
                <w:sz w:val="20"/>
                <w:szCs w:val="20"/>
                <w:lang w:val="en-US" w:eastAsia="zh-CN" w:bidi="ar"/>
              </w:rPr>
              <w:t xml:space="preserve">год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2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 w:bidi="ar"/>
              </w:rPr>
              <w:t xml:space="preserve">2027 </w:t>
            </w:r>
            <w:r>
              <w:rPr>
                <w:sz w:val="20"/>
                <w:szCs w:val="20"/>
                <w:lang w:val="en-US" w:eastAsia="zh-CN" w:bidi="ar"/>
              </w:rPr>
              <w:t xml:space="preserve">год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2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 w:bidi="ar"/>
              </w:rPr>
              <w:t xml:space="preserve">2028</w:t>
            </w:r>
            <w:r>
              <w:rPr>
                <w:sz w:val="20"/>
                <w:szCs w:val="20"/>
                <w:lang w:eastAsia="zh-CN" w:bidi="ar"/>
              </w:rPr>
              <w:t xml:space="preserve"> год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2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 w:bidi="ar"/>
              </w:rPr>
              <w:t xml:space="preserve">2029</w:t>
            </w:r>
            <w:r>
              <w:rPr>
                <w:sz w:val="20"/>
                <w:szCs w:val="20"/>
                <w:lang w:eastAsia="zh-CN" w:bidi="ar"/>
              </w:rPr>
              <w:t xml:space="preserve"> год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2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 w:bidi="ar"/>
              </w:rPr>
              <w:t xml:space="preserve">2030</w:t>
            </w:r>
            <w:r>
              <w:rPr>
                <w:sz w:val="20"/>
                <w:szCs w:val="20"/>
                <w:lang w:eastAsia="zh-CN" w:bidi="ar"/>
              </w:rPr>
              <w:t xml:space="preserve"> год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2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 w:bidi="ar"/>
              </w:rPr>
              <w:t xml:space="preserve">Всего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rPr>
          <w:trHeight w:val="520"/>
        </w:trPr>
        <w:tblPrEx/>
        <w:tc>
          <w:tcPr>
            <w:tcW w:w="98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false"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</w:rPr>
              <w:t xml:space="preserve"> </w:t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tcW w:w="5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false"/>
            <w:textDirection w:val="lrTb"/>
          </w:tcPr>
          <w:p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Муниципальная программа «Управление муниципальными финансами в Белоярском районе» (всего), в том числе: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</w:rPr>
              <w:t xml:space="preserve">446 310,5</w:t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tcW w:w="0" w:type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276 306,1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355 232,2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268 906,5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268 906,5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268 906,5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1 884 568,3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rPr>
          <w:trHeight w:val="265"/>
        </w:trPr>
        <w:tblPrEx/>
        <w:tc>
          <w:tcPr>
            <w:tcW w:w="9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false"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tcW w:w="5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false"/>
            <w:textDirection w:val="lrTb"/>
          </w:tcPr>
          <w:p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федеральный бюджет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4 751,7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5 172,1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5 359,5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5 359,5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5 359,5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5 359,5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31 361,8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rPr>
          <w:trHeight w:val="101"/>
        </w:trPr>
        <w:tblPrEx/>
        <w:tc>
          <w:tcPr>
            <w:tcW w:w="9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false"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tcW w:w="5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false"/>
            <w:textDirection w:val="lrTb"/>
          </w:tcPr>
          <w:p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бюджет ХМАО-Югры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202 428,3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106 999,7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106 563,7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106 563,7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106 563,7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106 563,7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735 682,8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rPr>
          <w:trHeight w:val="300"/>
        </w:trPr>
        <w:tblPrEx/>
        <w:tc>
          <w:tcPr>
            <w:tcW w:w="9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false"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tcW w:w="5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false"/>
            <w:textDirection w:val="lrTb"/>
          </w:tcPr>
          <w:p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бюджет Белоярского района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239 130,5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164 134,3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243 309,0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156 983,3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156 983,3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156 983,3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1 117 523,7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rPr>
          <w:trHeight w:val="300"/>
        </w:trPr>
        <w:tblPrEx/>
        <w:tc>
          <w:tcPr>
            <w:tcW w:w="9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false"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tcW w:w="5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false"/>
            <w:textDirection w:val="lrTb"/>
          </w:tcPr>
          <w:p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Объем налоговых расходов Белоярского района (</w:t>
            </w:r>
            <w:r>
              <w:rPr>
                <w:sz w:val="20"/>
                <w:szCs w:val="20"/>
              </w:rPr>
              <w:t xml:space="preserve">справочно</w:t>
            </w:r>
            <w:r>
              <w:rPr>
                <w:sz w:val="20"/>
                <w:szCs w:val="20"/>
              </w:rPr>
              <w:t xml:space="preserve">)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15 625,0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15 625,0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15 625,0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15 625,0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15 625,0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15 625,0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93 750,0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rPr>
          <w:trHeight w:val="493"/>
        </w:trPr>
        <w:tblPrEx/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5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false"/>
            <w:textDirection w:val="lrTb"/>
          </w:tcPr>
          <w:p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Региональный проект </w:t>
            </w:r>
            <w:r>
              <w:rPr>
                <w:sz w:val="20"/>
                <w:szCs w:val="20"/>
              </w:rPr>
              <w:t xml:space="preserve">«</w:t>
            </w:r>
            <w:r>
              <w:rPr>
                <w:sz w:val="20"/>
                <w:szCs w:val="20"/>
              </w:rPr>
              <w:t xml:space="preserve">Развитие экосистемы поддержки гражданских инициатив</w:t>
            </w:r>
            <w:r>
              <w:rPr>
                <w:sz w:val="20"/>
                <w:szCs w:val="20"/>
              </w:rPr>
              <w:t xml:space="preserve">» (всего), в том числе: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44 399,0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0,0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0,0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0,0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0,0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0,0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44 399,0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rPr>
          <w:trHeight w:val="240"/>
        </w:trPr>
        <w:tblPrEx/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tcW w:w="5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false"/>
            <w:textDirection w:val="lrTb"/>
          </w:tcPr>
          <w:p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бюджет ХМАО-Югры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31 079,3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0,0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0,0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0,0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0,0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0,0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31 079,3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rPr>
          <w:trHeight w:val="205"/>
        </w:trPr>
        <w:tblPrEx/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tcW w:w="5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false"/>
            <w:textDirection w:val="lrTb"/>
          </w:tcPr>
          <w:p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бюджет Белоярского района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13 319,7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0,0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0,0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0,0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0,0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0,0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13 319,7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rPr>
          <w:trHeight w:val="593"/>
        </w:trPr>
        <w:tblPrEx/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1.1.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5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false"/>
            <w:textDirection w:val="lrTb"/>
          </w:tcPr>
          <w:p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результат </w:t>
            </w:r>
            <w:r>
              <w:rPr>
                <w:sz w:val="20"/>
                <w:szCs w:val="20"/>
              </w:rPr>
              <w:t xml:space="preserve">«</w:t>
            </w:r>
            <w:r>
              <w:rPr>
                <w:sz w:val="20"/>
                <w:szCs w:val="20"/>
              </w:rPr>
              <w:t xml:space="preserve">Инициативный проект «</w:t>
            </w:r>
            <w:r>
              <w:rPr>
                <w:sz w:val="20"/>
                <w:szCs w:val="20"/>
              </w:rPr>
              <w:t xml:space="preserve">Торум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Хары</w:t>
            </w:r>
            <w:r>
              <w:rPr>
                <w:sz w:val="20"/>
                <w:szCs w:val="20"/>
              </w:rPr>
              <w:t xml:space="preserve">» / «Под открытым небом». Благоустройство этнокультурного парка «Ай Курт» в сельском поселении Сосновка, 3 этап</w:t>
            </w:r>
            <w:r>
              <w:rPr>
                <w:sz w:val="20"/>
                <w:szCs w:val="20"/>
              </w:rPr>
              <w:t xml:space="preserve">» (всего), в том числе: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13 995,2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0,0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0,0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0,0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0,0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0,0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13 995,2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rPr>
          <w:trHeight w:val="300"/>
        </w:trPr>
        <w:tblPrEx/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5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false"/>
            <w:textDirection w:val="lrTb"/>
          </w:tcPr>
          <w:p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бюджет ХМАО - Югры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9 796,6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0,0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0,0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0,0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0,0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0,0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9 796,6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rPr>
          <w:trHeight w:val="300"/>
        </w:trPr>
        <w:tblPrEx/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5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false"/>
            <w:textDirection w:val="lrTb"/>
          </w:tcPr>
          <w:p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бюджет Белоярского района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4 198,6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0,0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0,0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0,0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0,0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0,0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4 198,6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rPr>
          <w:trHeight w:val="341"/>
        </w:trPr>
        <w:tblPrEx/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1.2.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5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false"/>
            <w:textDirection w:val="lrTb"/>
          </w:tcPr>
          <w:p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результат </w:t>
            </w:r>
            <w:r>
              <w:rPr>
                <w:sz w:val="20"/>
                <w:szCs w:val="20"/>
              </w:rPr>
              <w:t xml:space="preserve">«</w:t>
            </w:r>
            <w:r>
              <w:rPr>
                <w:sz w:val="20"/>
                <w:szCs w:val="20"/>
              </w:rPr>
              <w:t xml:space="preserve">Благоустройство общественной территории «Двор мечты - 2 этап</w:t>
            </w:r>
            <w:r>
              <w:rPr>
                <w:sz w:val="20"/>
                <w:szCs w:val="20"/>
              </w:rPr>
              <w:t xml:space="preserve">» (всего), в том числе: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8 186,3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0,0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0,0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0,0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0,0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0,0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8 186,3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rPr>
          <w:trHeight w:val="70"/>
        </w:trPr>
        <w:tblPrEx/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5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false"/>
            <w:textDirection w:val="lrTb"/>
          </w:tcPr>
          <w:p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бюджет ХМАО - Югры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5 730,4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0,0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0,0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0,0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0,0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0,0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5 730,4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rPr>
          <w:trHeight w:val="107"/>
        </w:trPr>
        <w:tblPrEx/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5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false"/>
            <w:textDirection w:val="lrTb"/>
          </w:tcPr>
          <w:p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бюджет Белоярского района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2 455,9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0,0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0,0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0,0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0,0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0,0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2 455,9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rPr>
          <w:trHeight w:val="480"/>
        </w:trPr>
        <w:tblPrEx/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1.3.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5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false"/>
            <w:textDirection w:val="lrTb"/>
          </w:tcPr>
          <w:p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результат </w:t>
            </w:r>
            <w:r>
              <w:rPr>
                <w:sz w:val="20"/>
                <w:szCs w:val="20"/>
              </w:rPr>
              <w:t xml:space="preserve">«</w:t>
            </w:r>
            <w:r>
              <w:rPr>
                <w:sz w:val="20"/>
                <w:szCs w:val="20"/>
              </w:rPr>
              <w:t xml:space="preserve">Ресурс-трек </w:t>
            </w:r>
            <w:r>
              <w:rPr>
                <w:sz w:val="20"/>
                <w:szCs w:val="20"/>
              </w:rPr>
              <w:t xml:space="preserve">«</w:t>
            </w:r>
            <w:r>
              <w:rPr>
                <w:sz w:val="20"/>
                <w:szCs w:val="20"/>
              </w:rPr>
              <w:t xml:space="preserve">Траектория гения»: создание креативного пространства возле ресурсного центра</w:t>
            </w:r>
            <w:r>
              <w:rPr>
                <w:sz w:val="20"/>
                <w:szCs w:val="20"/>
              </w:rPr>
              <w:t xml:space="preserve">»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2 533,3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0,0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0,0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0,0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0,0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0,0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2 533,3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rPr>
          <w:trHeight w:val="89"/>
        </w:trPr>
        <w:tblPrEx/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5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false"/>
            <w:textDirection w:val="lrTb"/>
          </w:tcPr>
          <w:p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бюджет ХМАО - Югры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1 773,3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0,0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0,0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0,0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0,0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0,0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1 773,3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rPr>
          <w:trHeight w:val="162"/>
        </w:trPr>
        <w:tblPrEx/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5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false"/>
            <w:textDirection w:val="lrTb"/>
          </w:tcPr>
          <w:p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бюджет Белоярского района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760,0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0,0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0,0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0,0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0,0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0,0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760,0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rPr>
          <w:trHeight w:val="377"/>
        </w:trPr>
        <w:tblPrEx/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1.4.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5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false"/>
            <w:textDirection w:val="lrTb"/>
          </w:tcPr>
          <w:p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результат «Благоустройство центральной площадки в </w:t>
            </w:r>
            <w:r>
              <w:rPr>
                <w:sz w:val="20"/>
                <w:szCs w:val="20"/>
              </w:rPr>
              <w:t xml:space="preserve">с.Казым</w:t>
            </w:r>
            <w:r>
              <w:rPr>
                <w:sz w:val="20"/>
                <w:szCs w:val="20"/>
              </w:rPr>
              <w:t xml:space="preserve">. Площадь перед школой «</w:t>
            </w:r>
            <w:r>
              <w:rPr>
                <w:sz w:val="20"/>
                <w:szCs w:val="20"/>
              </w:rPr>
              <w:t xml:space="preserve">Омащ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хар</w:t>
            </w:r>
            <w:r>
              <w:rPr>
                <w:sz w:val="20"/>
                <w:szCs w:val="20"/>
              </w:rPr>
              <w:t xml:space="preserve">», 2 этап»</w:t>
            </w:r>
            <w:r>
              <w:rPr>
                <w:sz w:val="20"/>
                <w:szCs w:val="20"/>
              </w:rPr>
              <w:t xml:space="preserve"> (всего), в том числе: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14 151,4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0,0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0,0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0,0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0,0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0,0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14 151,4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rPr>
          <w:trHeight w:val="300"/>
        </w:trPr>
        <w:tblPrEx/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5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false"/>
            <w:textDirection w:val="lrTb"/>
          </w:tcPr>
          <w:p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бюджет ХМАО - Югры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9 906,0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0,0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0,0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0,0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0,0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0,0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9 906,0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rPr>
          <w:trHeight w:val="218"/>
        </w:trPr>
        <w:tblPrEx/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5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false"/>
            <w:textDirection w:val="lrTb"/>
          </w:tcPr>
          <w:p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бюджет Белоярского района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4 245,4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0,0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0,0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0,0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0,0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0,0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4 245,4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rPr>
          <w:trHeight w:val="540"/>
        </w:trPr>
        <w:tblPrEx/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1.5.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5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false"/>
            <w:textDirection w:val="lrTb"/>
          </w:tcPr>
          <w:p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результат </w:t>
            </w:r>
            <w:r>
              <w:rPr>
                <w:sz w:val="20"/>
                <w:szCs w:val="20"/>
              </w:rPr>
              <w:t xml:space="preserve">«</w:t>
            </w:r>
            <w:r>
              <w:rPr>
                <w:sz w:val="20"/>
                <w:szCs w:val="20"/>
              </w:rPr>
              <w:t xml:space="preserve">Обустройство многофункциональной парковой зоны сельского поселения </w:t>
            </w:r>
            <w:r>
              <w:rPr>
                <w:sz w:val="20"/>
                <w:szCs w:val="20"/>
              </w:rPr>
              <w:t xml:space="preserve">Лыхма</w:t>
            </w:r>
            <w:r>
              <w:rPr>
                <w:sz w:val="20"/>
                <w:szCs w:val="20"/>
              </w:rPr>
              <w:t xml:space="preserve"> «ПАРК «СЕМЕЙНЫЙ» - 5 этап</w:t>
            </w:r>
            <w:r>
              <w:rPr>
                <w:sz w:val="20"/>
                <w:szCs w:val="20"/>
              </w:rPr>
              <w:t xml:space="preserve">»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5 532,8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0,0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0,0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0,0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0,0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0,0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5 532,8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rPr>
          <w:trHeight w:val="70"/>
        </w:trPr>
        <w:tblPrEx/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5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false"/>
            <w:textDirection w:val="lrTb"/>
          </w:tcPr>
          <w:p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бюджет ХМАО - Югры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3 873,0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0,0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0,0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0,0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0,0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0,0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3 873,0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rPr>
          <w:trHeight w:val="204"/>
        </w:trPr>
        <w:tblPrEx/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5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false"/>
            <w:textDirection w:val="lrTb"/>
          </w:tcPr>
          <w:p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бюджет Белоярского района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1 659,8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0,0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0,0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0,0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0,0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0,0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1 659,8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rPr>
          <w:trHeight w:val="740"/>
        </w:trPr>
        <w:tblPrEx/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5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false"/>
            <w:textDirection w:val="lrTb"/>
          </w:tcPr>
          <w:p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Комплекс процессных мероприятий </w:t>
            </w:r>
            <w:r>
              <w:rPr>
                <w:sz w:val="20"/>
                <w:szCs w:val="20"/>
              </w:rPr>
              <w:t xml:space="preserve">«</w:t>
            </w:r>
            <w:r>
              <w:rPr>
                <w:sz w:val="20"/>
                <w:szCs w:val="20"/>
              </w:rPr>
              <w:t xml:space="preserve">Эффективное управление резервными средствами и муниципальным долгом Белоярского района</w:t>
            </w:r>
            <w:r>
              <w:rPr>
                <w:sz w:val="20"/>
                <w:szCs w:val="20"/>
              </w:rPr>
              <w:t xml:space="preserve">»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15 852,1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42 342,3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87 098,2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772,5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772,5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772,5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147 610,1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rPr>
          <w:trHeight w:val="300"/>
        </w:trPr>
        <w:tblPrEx/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tcW w:w="5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false"/>
            <w:textDirection w:val="lrTb"/>
          </w:tcPr>
          <w:p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бюджет Белоярского района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15 852,1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42 342,3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87 098,2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772,5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772,5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772,5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147 610,1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rPr>
          <w:trHeight w:val="540"/>
        </w:trPr>
        <w:tblPrEx/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2.1.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5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false"/>
            <w:textDirection w:val="lrTb"/>
          </w:tcPr>
          <w:p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мероприятие </w:t>
            </w:r>
            <w:r>
              <w:rPr>
                <w:sz w:val="20"/>
                <w:szCs w:val="20"/>
              </w:rPr>
              <w:t xml:space="preserve">«</w:t>
            </w:r>
            <w:r>
              <w:rPr>
                <w:sz w:val="20"/>
                <w:szCs w:val="20"/>
              </w:rPr>
              <w:t xml:space="preserve">Управление резервными средствами бюджета Белоярского района</w:t>
            </w:r>
            <w:r>
              <w:rPr>
                <w:sz w:val="20"/>
                <w:szCs w:val="20"/>
              </w:rPr>
              <w:t xml:space="preserve">»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15 612,3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42 078,8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86 825,7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500,0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500,0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500,0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146 016,8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rPr>
          <w:trHeight w:val="300"/>
        </w:trPr>
        <w:tblPrEx/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5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false"/>
            <w:textDirection w:val="lrTb"/>
          </w:tcPr>
          <w:p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бюджет Белоярского района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15 612,3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42 078,8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86 825,7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500,0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500,0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500,0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146 016,8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rPr>
          <w:trHeight w:val="360"/>
        </w:trPr>
        <w:tblPrEx/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2.2.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5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false"/>
            <w:textDirection w:val="lrTb"/>
          </w:tcPr>
          <w:p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мероприятие </w:t>
            </w:r>
            <w:r>
              <w:rPr>
                <w:sz w:val="20"/>
                <w:szCs w:val="20"/>
              </w:rPr>
              <w:t xml:space="preserve">«</w:t>
            </w:r>
            <w:r>
              <w:rPr>
                <w:sz w:val="20"/>
                <w:szCs w:val="20"/>
              </w:rPr>
              <w:t xml:space="preserve">Обслуживание муниципального долга Белоярского района</w:t>
            </w:r>
            <w:r>
              <w:rPr>
                <w:sz w:val="20"/>
                <w:szCs w:val="20"/>
              </w:rPr>
              <w:t xml:space="preserve">»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239,8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263,5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272,5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272,5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272,5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272,5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1 593,3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rPr>
          <w:trHeight w:val="340"/>
        </w:trPr>
        <w:tblPrEx/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5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false"/>
            <w:textDirection w:val="lrTb"/>
          </w:tcPr>
          <w:p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бюджет Белоярского района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239,8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263,5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272,5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272,5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272,5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272,5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1 593,3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rPr>
          <w:trHeight w:val="540"/>
        </w:trPr>
        <w:tblPrEx/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2.3.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5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false"/>
            <w:textDirection w:val="lrTb"/>
          </w:tcPr>
          <w:p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мероприятие </w:t>
            </w:r>
            <w:r>
              <w:rPr>
                <w:sz w:val="20"/>
                <w:szCs w:val="20"/>
              </w:rPr>
              <w:t xml:space="preserve">«</w:t>
            </w:r>
            <w:r>
              <w:rPr>
                <w:sz w:val="20"/>
                <w:szCs w:val="20"/>
              </w:rPr>
              <w:t xml:space="preserve">Планирование ассигнований на погашение долговых обязательств Белоярского района</w:t>
            </w:r>
            <w:r>
              <w:rPr>
                <w:sz w:val="20"/>
                <w:szCs w:val="20"/>
              </w:rPr>
              <w:t xml:space="preserve">»</w:t>
            </w:r>
            <w:r>
              <w:rPr>
                <w:sz w:val="20"/>
                <w:szCs w:val="20"/>
              </w:rPr>
              <w:t xml:space="preserve"> &lt;*&gt;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555 893,5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644 812,4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721 788,9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721 788,9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721 788,9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721 788,9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4 087 861,5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rPr>
          <w:trHeight w:val="300"/>
        </w:trPr>
        <w:tblPrEx/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5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false"/>
            <w:textDirection w:val="lrTb"/>
          </w:tcPr>
          <w:p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бюджет Белоярского района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555 893,5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644</w:t>
            </w:r>
            <w:bookmarkStart w:id="0" w:name="_GoBack"/>
            <w:bookmarkEnd w:id="0"/>
            <w:r>
              <w:rPr>
                <w:sz w:val="20"/>
                <w:szCs w:val="20"/>
              </w:rPr>
              <w:t xml:space="preserve"> 812,4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721 788,9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721 788,9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721 788,9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721 788,9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4 087 861,5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rPr>
          <w:trHeight w:val="540"/>
        </w:trPr>
        <w:tblPrEx/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5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false"/>
            <w:textDirection w:val="lrTb"/>
          </w:tcPr>
          <w:p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Комплекс процессных мероприятий </w:t>
            </w:r>
            <w:r>
              <w:rPr>
                <w:sz w:val="20"/>
                <w:szCs w:val="20"/>
              </w:rPr>
              <w:t xml:space="preserve">«</w:t>
            </w:r>
            <w:r>
              <w:rPr>
                <w:sz w:val="20"/>
                <w:szCs w:val="20"/>
              </w:rPr>
              <w:t xml:space="preserve">Повышение прозрачности и информационной доступности бюджета и бюджетного процесса</w:t>
            </w:r>
            <w:r>
              <w:rPr>
                <w:sz w:val="20"/>
                <w:szCs w:val="20"/>
              </w:rPr>
              <w:t xml:space="preserve">»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0,0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0,0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0,0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0,0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0,0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0,0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0,0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rPr>
          <w:trHeight w:val="300"/>
        </w:trPr>
        <w:tblPrEx/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tcW w:w="5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false"/>
            <w:textDirection w:val="lrTb"/>
          </w:tcPr>
          <w:p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бюджет Белоярского района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0,0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0,0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0,0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0,0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0,0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0,0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0,0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rPr>
          <w:trHeight w:val="397"/>
        </w:trPr>
        <w:tblPrEx/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5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false"/>
            <w:textDirection w:val="lrTb"/>
          </w:tcPr>
          <w:p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Комплекс процессных мероприятий </w:t>
            </w:r>
            <w:r>
              <w:rPr>
                <w:sz w:val="20"/>
                <w:szCs w:val="20"/>
              </w:rPr>
              <w:t xml:space="preserve">«</w:t>
            </w:r>
            <w:r>
              <w:rPr>
                <w:sz w:val="20"/>
                <w:szCs w:val="20"/>
              </w:rPr>
              <w:t xml:space="preserve">Повышение финансовой грамотности на территории Белоярского района</w:t>
            </w:r>
            <w:r>
              <w:rPr>
                <w:sz w:val="20"/>
                <w:szCs w:val="20"/>
              </w:rPr>
              <w:t xml:space="preserve">»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240,0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0,0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0,0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0,0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0,0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0,0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240,0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rPr>
          <w:trHeight w:val="300"/>
        </w:trPr>
        <w:tblPrEx/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tcW w:w="5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false"/>
            <w:textDirection w:val="lrTb"/>
          </w:tcPr>
          <w:p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бюджет Белоярского района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240,0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0,0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0,0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0,0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0,0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0,0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240,0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rPr>
          <w:trHeight w:val="404"/>
        </w:trPr>
        <w:tblPrEx/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4.1.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5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false"/>
            <w:textDirection w:val="lrTb"/>
          </w:tcPr>
          <w:p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мероприятие </w:t>
            </w:r>
            <w:r>
              <w:rPr>
                <w:sz w:val="20"/>
                <w:szCs w:val="20"/>
              </w:rPr>
              <w:t xml:space="preserve">«</w:t>
            </w:r>
            <w:r>
              <w:rPr>
                <w:sz w:val="20"/>
                <w:szCs w:val="20"/>
              </w:rPr>
              <w:t xml:space="preserve">Финансовая поддержка некоммерческих организаций на реализацию мероприятий, направленных на повышение финансовой грамотности на территории Белоярского района</w:t>
            </w:r>
            <w:r>
              <w:rPr>
                <w:sz w:val="20"/>
                <w:szCs w:val="20"/>
              </w:rPr>
              <w:t xml:space="preserve">»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240,0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0,0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0,0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0,0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0,0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0,0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240,0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rPr>
          <w:trHeight w:val="300"/>
        </w:trPr>
        <w:tblPrEx/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5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false"/>
            <w:textDirection w:val="lrTb"/>
          </w:tcPr>
          <w:p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бюджет Белоярского района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240,0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0,0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0,0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0,0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0,0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0,0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240,0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rPr>
          <w:trHeight w:val="720"/>
        </w:trPr>
        <w:tblPrEx/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5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false"/>
            <w:textDirection w:val="lrTb"/>
          </w:tcPr>
          <w:p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Комплекс процессных мероприятий </w:t>
            </w:r>
            <w:r>
              <w:rPr>
                <w:sz w:val="20"/>
                <w:szCs w:val="20"/>
              </w:rPr>
              <w:t xml:space="preserve">«</w:t>
            </w:r>
            <w:r>
              <w:rPr>
                <w:sz w:val="20"/>
                <w:szCs w:val="20"/>
              </w:rPr>
              <w:t xml:space="preserve">Обеспечение деятельности казенного учреждения, осуществляющего полномочия по ведению централизованного бухгалтерского учета и отчетности</w:t>
            </w:r>
            <w:r>
              <w:rPr>
                <w:sz w:val="20"/>
                <w:szCs w:val="20"/>
              </w:rPr>
              <w:t xml:space="preserve">»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30 591,4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27 359,4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27 367,9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27 367,9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27 367,9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27 367,9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167 422,4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rPr>
          <w:trHeight w:val="116"/>
        </w:trPr>
        <w:tblPrEx/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tcW w:w="5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false"/>
            <w:textDirection w:val="lrTb"/>
          </w:tcPr>
          <w:p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бюджет Белоярского района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30 591,4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27 359,4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27 367,9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27 367,9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27 367,9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27 367,9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167 422,4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rPr>
          <w:trHeight w:val="501"/>
        </w:trPr>
        <w:tblPrEx/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6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5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false"/>
            <w:textDirection w:val="lrTb"/>
          </w:tcPr>
          <w:p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Комплекс процессных мероприятий </w:t>
            </w:r>
            <w:r>
              <w:rPr>
                <w:sz w:val="20"/>
                <w:szCs w:val="20"/>
              </w:rPr>
              <w:t xml:space="preserve">«</w:t>
            </w:r>
            <w:r>
              <w:rPr>
                <w:sz w:val="20"/>
                <w:szCs w:val="20"/>
              </w:rPr>
              <w:t xml:space="preserve">Обеспечение деятельности органов местного самоуправления Белоярского района</w:t>
            </w:r>
            <w:r>
              <w:rPr>
                <w:sz w:val="20"/>
                <w:szCs w:val="20"/>
              </w:rPr>
              <w:t xml:space="preserve">»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71 340,1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36 254,7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66 101,0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66 101,0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66 101,0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66 101,0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371 998,8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rPr>
          <w:trHeight w:val="202"/>
        </w:trPr>
        <w:tblPrEx/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tcW w:w="5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false"/>
            <w:textDirection w:val="lrTb"/>
          </w:tcPr>
          <w:p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бюджет Белоярского района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71 340,1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36 254,7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66 101,0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66 101,0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66 101,0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66 101,0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371 998,8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rPr>
          <w:trHeight w:val="531"/>
        </w:trPr>
        <w:tblPrEx/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6.1.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5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false"/>
            <w:textDirection w:val="lrTb"/>
          </w:tcPr>
          <w:p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мероприятие </w:t>
            </w:r>
            <w:r>
              <w:rPr>
                <w:sz w:val="20"/>
                <w:szCs w:val="20"/>
              </w:rPr>
              <w:t xml:space="preserve">«</w:t>
            </w:r>
            <w:r>
              <w:rPr>
                <w:sz w:val="20"/>
                <w:szCs w:val="20"/>
              </w:rPr>
              <w:t xml:space="preserve">Обеспечение выполнения функций управления муниципальными финансами</w:t>
            </w:r>
            <w:r>
              <w:rPr>
                <w:sz w:val="20"/>
                <w:szCs w:val="20"/>
              </w:rPr>
              <w:t xml:space="preserve">»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71 340,1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36 254,7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66 101,0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66 101,0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66 101,0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66 101,0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371 998,8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rPr>
          <w:trHeight w:val="284"/>
        </w:trPr>
        <w:tblPrEx/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5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false"/>
            <w:textDirection w:val="lrTb"/>
          </w:tcPr>
          <w:p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бюджет Белоярского района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71 340,1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36 254,7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66 101,0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66 101,0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66 101,0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66 101,0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371 998,8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rPr>
          <w:trHeight w:val="693"/>
        </w:trPr>
        <w:tblPrEx/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7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5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false"/>
            <w:textDirection w:val="lrTb"/>
          </w:tcPr>
          <w:p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Комплекс процессных мероприятий </w:t>
            </w:r>
            <w:r>
              <w:rPr>
                <w:sz w:val="20"/>
                <w:szCs w:val="20"/>
              </w:rPr>
              <w:t xml:space="preserve">«</w:t>
            </w:r>
            <w:r>
              <w:rPr>
                <w:sz w:val="20"/>
                <w:szCs w:val="20"/>
              </w:rPr>
              <w:t xml:space="preserve">Финансовое обеспечение осуществления органами местного самоуправления поселений в границах Белоярского района переданных полномочий</w:t>
            </w:r>
            <w:r>
              <w:rPr>
                <w:sz w:val="20"/>
                <w:szCs w:val="20"/>
              </w:rPr>
              <w:t xml:space="preserve">» (всего), в том числе: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66 179,1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5 205,3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5 392,7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5 392,7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5 392,7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5 392,7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92 955,2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rPr>
          <w:trHeight w:val="264"/>
        </w:trPr>
        <w:tblPrEx/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tcW w:w="5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false"/>
            <w:textDirection w:val="lrTb"/>
          </w:tcPr>
          <w:p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федеральный бюджет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4 751,7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5 172,1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5 359,5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5 359,5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5 359,5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5 359,5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31 361,8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rPr>
          <w:trHeight w:val="300"/>
        </w:trPr>
        <w:tblPrEx/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tcW w:w="5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false"/>
            <w:textDirection w:val="lrTb"/>
          </w:tcPr>
          <w:p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бюджет ХМАО-Югры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61 085,5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33,2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33,2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33,2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33,2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33,2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61 251,5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rPr>
          <w:trHeight w:val="300"/>
        </w:trPr>
        <w:tblPrEx/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tcW w:w="5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false"/>
            <w:textDirection w:val="lrTb"/>
          </w:tcPr>
          <w:p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бюджет Белоярского района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341,9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0,0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0,0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0,0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0,0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0,0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341,9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rPr>
          <w:trHeight w:val="1056"/>
        </w:trPr>
        <w:tblPrEx/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7.1.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5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false"/>
            <w:textDirection w:val="lrTb"/>
          </w:tcPr>
          <w:p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мероприятие </w:t>
            </w:r>
            <w:r>
              <w:rPr>
                <w:sz w:val="20"/>
                <w:szCs w:val="20"/>
              </w:rPr>
              <w:t xml:space="preserve">«</w:t>
            </w:r>
            <w:r>
              <w:rPr>
                <w:sz w:val="20"/>
                <w:szCs w:val="20"/>
              </w:rPr>
              <w:t xml:space="preserve">Предоставление межбюджетных трансфертов  на финансовое обеспечение осуществления органами местного самоуправления поселений в границах Белоярского района полномочий, переданных органами местного самоуправления Белоярского района на основании соглашений</w:t>
            </w:r>
            <w:r>
              <w:rPr>
                <w:sz w:val="20"/>
                <w:szCs w:val="20"/>
              </w:rPr>
              <w:t xml:space="preserve">»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341,9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0,0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0,0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0,0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0,0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0,0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341,9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rPr>
          <w:trHeight w:val="300"/>
        </w:trPr>
        <w:tblPrEx/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5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false"/>
            <w:textDirection w:val="lrTb"/>
          </w:tcPr>
          <w:p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бюджет Белоярского района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341,9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0,0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0,0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0,0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0,0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0,0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341,9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rPr>
          <w:trHeight w:val="820"/>
        </w:trPr>
        <w:tblPrEx/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7.2.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5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false"/>
            <w:textDirection w:val="lrTb"/>
          </w:tcPr>
          <w:p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мероприятие </w:t>
            </w:r>
            <w:r>
              <w:rPr>
                <w:sz w:val="20"/>
                <w:szCs w:val="20"/>
              </w:rPr>
              <w:t xml:space="preserve">«</w:t>
            </w:r>
            <w:r>
              <w:rPr>
                <w:sz w:val="20"/>
                <w:szCs w:val="20"/>
              </w:rPr>
              <w:t xml:space="preserve">Предоставление межбюджетных трансфертов в иных случаях, предусмотренных законами Ханты-Мансийского автономного округа – Югры и муниципальными правовыми актами Белоярского района</w:t>
            </w:r>
            <w:r>
              <w:rPr>
                <w:sz w:val="20"/>
                <w:szCs w:val="20"/>
              </w:rPr>
              <w:t xml:space="preserve">» (всего), в том числе: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61 050,0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0,0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0,0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0,0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0,0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0,0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61 050,0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rPr>
          <w:trHeight w:val="300"/>
        </w:trPr>
        <w:tblPrEx/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5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false"/>
            <w:textDirection w:val="lrTb"/>
          </w:tcPr>
          <w:p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бюджет ХМАО-Югры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61 050,0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0,0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0,0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0,0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0,0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0,0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61 050,0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rPr>
          <w:trHeight w:val="300"/>
        </w:trPr>
        <w:tblPrEx/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5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false"/>
            <w:textDirection w:val="lrTb"/>
          </w:tcPr>
          <w:p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бюджет Белоярского района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0,0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0,0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0,0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0,0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0,0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0,0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0,0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rPr>
          <w:trHeight w:val="249"/>
        </w:trPr>
        <w:tblPrEx/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7.3.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5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false"/>
            <w:textDirection w:val="lrTb"/>
          </w:tcPr>
          <w:p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мероприятие </w:t>
            </w:r>
            <w:r>
              <w:rPr>
                <w:sz w:val="20"/>
                <w:szCs w:val="20"/>
              </w:rPr>
              <w:t xml:space="preserve">«</w:t>
            </w:r>
            <w:r>
              <w:rPr>
                <w:sz w:val="20"/>
                <w:szCs w:val="20"/>
              </w:rPr>
              <w:t xml:space="preserve">Предоставление межбюджетных трансфертов в форме субвенций на осуществление отдельных государственных полномочий</w:t>
            </w:r>
            <w:r>
              <w:rPr>
                <w:sz w:val="20"/>
                <w:szCs w:val="20"/>
              </w:rPr>
              <w:t xml:space="preserve">» (всего), в том числе: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4 787,2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5 205,3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5 392,7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5 392,7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5 392,7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5 392,7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31 563,3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rPr>
          <w:trHeight w:val="204"/>
        </w:trPr>
        <w:tblPrEx/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5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false"/>
            <w:textDirection w:val="lrTb"/>
          </w:tcPr>
          <w:p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федеральный бюджет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4 751,7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5 172,1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5 359,5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5 359,5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5 359,5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5 359,5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31 361,8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rPr>
          <w:trHeight w:val="240"/>
        </w:trPr>
        <w:tblPrEx/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5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false"/>
            <w:textDirection w:val="lrTb"/>
          </w:tcPr>
          <w:p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бюджет ХМАО-Югры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35,5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33,2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33,2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33,2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33,2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33,2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201,5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rPr>
          <w:trHeight w:val="189"/>
        </w:trPr>
        <w:tblPrEx/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5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false"/>
            <w:textDirection w:val="lrTb"/>
          </w:tcPr>
          <w:p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бюджет Белоярского района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0,0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0,0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0,0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0,0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0,0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0,0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0,0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rPr>
          <w:trHeight w:val="589"/>
        </w:trPr>
        <w:tblPrEx/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8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5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false"/>
            <w:textDirection w:val="lrTb"/>
          </w:tcPr>
          <w:p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Комплекс процессных мероприятий </w:t>
            </w:r>
            <w:r>
              <w:rPr>
                <w:sz w:val="20"/>
                <w:szCs w:val="20"/>
              </w:rPr>
              <w:t xml:space="preserve">«</w:t>
            </w:r>
            <w:r>
              <w:rPr>
                <w:sz w:val="20"/>
                <w:szCs w:val="20"/>
              </w:rPr>
              <w:t xml:space="preserve">Выравнивание бюджетной обеспеченности  и обеспечение сбалансированности бюджетов поселений в границах Белоярского района</w:t>
            </w:r>
            <w:r>
              <w:rPr>
                <w:sz w:val="20"/>
                <w:szCs w:val="20"/>
              </w:rPr>
              <w:t xml:space="preserve">» (всего), в том числе: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215 058,8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165 144,4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169 272,4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169 272,4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169 272,4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169 272,4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1 057 292,8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rPr>
          <w:trHeight w:val="300"/>
        </w:trPr>
        <w:tblPrEx/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tcW w:w="5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false"/>
            <w:textDirection w:val="lrTb"/>
          </w:tcPr>
          <w:p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бюджет ХМАО-Югры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110 263,5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106 966,5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106 530,5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106 530,5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106 530,5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106 530,5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643 352,0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rPr>
          <w:trHeight w:val="79"/>
        </w:trPr>
        <w:tblPrEx/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tcW w:w="5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false"/>
            <w:textDirection w:val="lrTb"/>
          </w:tcPr>
          <w:p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бюджет Белоярского района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104 795,3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58 177,9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62 741,9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62 741,9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62 741,9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62 741,9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413 940,8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rPr>
          <w:trHeight w:val="479"/>
        </w:trPr>
        <w:tblPrEx/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8.1.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5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false"/>
            <w:textDirection w:val="lrTb"/>
          </w:tcPr>
          <w:p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мероприятие </w:t>
            </w:r>
            <w:r>
              <w:rPr>
                <w:sz w:val="20"/>
                <w:szCs w:val="20"/>
              </w:rPr>
              <w:t xml:space="preserve">«Выравнивание финансовых возможностей и содействие сбалансированности местных бюджетов» (всего), в том числе: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134 448,1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131 356,3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131 160,5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131 160,5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131 160,5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131 160,5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790 446,4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rPr>
          <w:trHeight w:val="172"/>
        </w:trPr>
        <w:tblPrEx/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5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false"/>
            <w:textDirection w:val="lrTb"/>
          </w:tcPr>
          <w:p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бюджет ХМАО-Югры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110 263,5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106 966,5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106 530,5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106 530,5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106 530,5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106 530,5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643 352,0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rPr>
          <w:trHeight w:val="90"/>
        </w:trPr>
        <w:tblPrEx/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5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false"/>
            <w:textDirection w:val="lrTb"/>
          </w:tcPr>
          <w:p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бюджет Белоярского района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24 184,6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24 389,8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24 630,0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24 630,0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24 630,0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24 630,0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147 094,4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rPr>
          <w:trHeight w:val="470"/>
        </w:trPr>
        <w:tblPrEx/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8.2.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5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false"/>
            <w:textDirection w:val="lrTb"/>
          </w:tcPr>
          <w:p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мероприятие </w:t>
            </w:r>
            <w:r>
              <w:rPr>
                <w:sz w:val="20"/>
                <w:szCs w:val="20"/>
              </w:rPr>
              <w:t xml:space="preserve"> «</w:t>
            </w:r>
            <w:r>
              <w:rPr>
                <w:sz w:val="20"/>
                <w:szCs w:val="20"/>
              </w:rPr>
              <w:t xml:space="preserve">Обеспечение сбалансированности бюджетов поселений в границах Белоярского района</w:t>
            </w:r>
            <w:r>
              <w:rPr>
                <w:sz w:val="20"/>
                <w:szCs w:val="20"/>
              </w:rPr>
              <w:t xml:space="preserve">»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80 610,7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33 788,1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38 111,9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38 111,9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38 111,9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38 111,9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266 846,4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rPr>
          <w:trHeight w:val="239"/>
        </w:trPr>
        <w:tblPrEx/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5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false"/>
            <w:textDirection w:val="lrTb"/>
          </w:tcPr>
          <w:p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бюджет ХМАО-Югры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0,0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0,0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0,0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0,0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0,0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0,0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0,0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rPr>
          <w:trHeight w:val="264"/>
        </w:trPr>
        <w:tblPrEx/>
        <w:tc>
          <w:tcPr>
            <w:tcW w:w="0" w:type="auto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center"/>
          </w:tcPr>
          <w:p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5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false"/>
            <w:textDirection w:val="lrTb"/>
          </w:tcPr>
          <w:p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бюджет Белоярского района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80 610,7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33 788,1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38 111,9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38 111,9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38 111,9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38 111,9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266 846,4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rPr>
          <w:trHeight w:val="264"/>
        </w:trPr>
        <w:tblPrEx/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9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5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false"/>
            <w:textDirection w:val="lrTb"/>
          </w:tcPr>
          <w:p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Комплекс процессных мероприятий </w:t>
            </w:r>
            <w:r>
              <w:rPr>
                <w:sz w:val="20"/>
                <w:szCs w:val="20"/>
              </w:rPr>
              <w:t xml:space="preserve">«</w:t>
            </w:r>
            <w:r>
              <w:rPr>
                <w:sz w:val="20"/>
                <w:szCs w:val="20"/>
              </w:rPr>
              <w:t xml:space="preserve">Содействие повышению эффективности деятельности органов местного самоуправления и качества управления муниципальными финансами в поселениях Белоярского района</w:t>
            </w:r>
            <w:r>
              <w:rPr>
                <w:sz w:val="20"/>
                <w:szCs w:val="20"/>
              </w:rPr>
              <w:t xml:space="preserve">»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2 650,0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0,0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0,0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0,0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0,0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0,0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2 650,0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rPr>
          <w:trHeight w:val="264"/>
        </w:trPr>
        <w:tblPrEx/>
        <w:tc>
          <w:tcPr>
            <w:tcW w:w="0" w:type="auto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center"/>
          </w:tcPr>
          <w:p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5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false"/>
            <w:textDirection w:val="lrTb"/>
          </w:tcPr>
          <w:p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бюджет Белоярского района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2 650,0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0,0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0,0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0,0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0,0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0,0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2 650,0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rPr>
          <w:trHeight w:val="930"/>
        </w:trPr>
        <w:tblPrEx/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9.1.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5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false"/>
            <w:textDirection w:val="lrTb"/>
          </w:tcPr>
          <w:p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мероприятие </w:t>
            </w:r>
            <w:r>
              <w:rPr>
                <w:sz w:val="20"/>
                <w:szCs w:val="20"/>
              </w:rPr>
              <w:t xml:space="preserve">«</w:t>
            </w:r>
            <w:r>
              <w:rPr>
                <w:sz w:val="20"/>
                <w:szCs w:val="20"/>
              </w:rPr>
              <w:t xml:space="preserve">Предоставление иных межбюджетных трансфертов на поощрение достижения наилучших показателей деятельности органов местного самоуправления поселений Белоярского района</w:t>
            </w:r>
            <w:r>
              <w:rPr>
                <w:sz w:val="20"/>
                <w:szCs w:val="20"/>
              </w:rPr>
              <w:t xml:space="preserve">»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2 450,0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0,0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0,0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0,0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0,0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0,0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2 450,0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rPr>
          <w:trHeight w:val="264"/>
        </w:trPr>
        <w:tblPrEx/>
        <w:tc>
          <w:tcPr>
            <w:tcW w:w="0" w:type="auto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center"/>
          </w:tcPr>
          <w:p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5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false"/>
            <w:textDirection w:val="lrTb"/>
          </w:tcPr>
          <w:p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бюджет Белоярского района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2 450,0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0,0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0,0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0,0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0,0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0,0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2 450,0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rPr>
          <w:trHeight w:val="264"/>
        </w:trPr>
        <w:tblPrEx/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9.2.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5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false"/>
            <w:textDirection w:val="lrTb"/>
          </w:tcPr>
          <w:p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мероприятие </w:t>
            </w:r>
            <w:r>
              <w:rPr>
                <w:sz w:val="20"/>
                <w:szCs w:val="20"/>
              </w:rPr>
              <w:t xml:space="preserve">«</w:t>
            </w:r>
            <w:r>
              <w:rPr>
                <w:sz w:val="20"/>
                <w:szCs w:val="20"/>
              </w:rPr>
              <w:t xml:space="preserve">Предоставление иных межбюджетных трансфертов на поощрение за достижение высоких показателей качества организации и осуществления бюджетного процесса по результатом оценок</w:t>
            </w:r>
            <w:r>
              <w:rPr>
                <w:sz w:val="20"/>
                <w:szCs w:val="20"/>
              </w:rPr>
              <w:t xml:space="preserve">»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200,0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0,0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0,0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0,0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0,0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0,0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200,0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rPr>
          <w:trHeight w:val="264"/>
        </w:trPr>
        <w:tblPrEx/>
        <w:tc>
          <w:tcPr>
            <w:tcW w:w="0" w:type="auto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center"/>
          </w:tcPr>
          <w:p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5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false"/>
            <w:textDirection w:val="lrTb"/>
          </w:tcPr>
          <w:p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бюджет Белоярского района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200,0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0,0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0,0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0,0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0,0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0,0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200,0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rPr>
          <w:trHeight w:val="1006"/>
        </w:trPr>
        <w:tblPrEx/>
        <w:tc>
          <w:tcPr>
            <w:tcW w:w="14440" w:type="dxa"/>
            <w:gridSpan w:val="9"/>
            <w:tcBorders>
              <w:top w:val="single" w:color="auto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shd w:val="clear" w:color="auto" w:fill="auto"/>
            <w:noWrap w:val="false"/>
            <w:textDirection w:val="lrTb"/>
          </w:tcPr>
          <w:p>
            <w:pPr>
              <w:rPr>
                <w:sz w:val="18"/>
                <w:szCs w:val="18"/>
                <w:lang w:eastAsia="zh-CN" w:bidi="ar"/>
              </w:rPr>
            </w:pPr>
            <w:r>
              <w:rPr>
                <w:sz w:val="18"/>
                <w:szCs w:val="18"/>
                <w:lang w:eastAsia="zh-CN" w:bidi="ar"/>
              </w:rPr>
              <w:t xml:space="preserve">&lt;*&gt; бюджетные ассигнования отражены в источниках финансирования дефицита бюджета Белоярского района, в связи с чем, в итоговых суммах финансирования по муниципальной программе не учитываются.</w:t>
            </w:r>
            <w:r>
              <w:rPr>
                <w:sz w:val="18"/>
                <w:szCs w:val="18"/>
                <w:lang w:eastAsia="zh-CN" w:bidi="ar"/>
              </w:rPr>
            </w:r>
            <w:r>
              <w:rPr>
                <w:sz w:val="18"/>
                <w:szCs w:val="18"/>
                <w:lang w:eastAsia="zh-CN" w:bidi="ar"/>
              </w:rPr>
            </w:r>
          </w:p>
          <w:p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zh-CN" w:bidi="ar"/>
              </w:rPr>
              <w:t xml:space="preserve">».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</w:tbl>
    <w:p>
      <w:pPr>
        <w:spacing w:after="160" w:line="259" w:lineRule="auto"/>
        <w:jc w:val="right"/>
      </w:pPr>
    </w:p>
    <w:p>
      <w:pPr>
        <w:spacing w:after="160" w:line="259" w:lineRule="auto"/>
        <w:jc w:val="center"/>
      </w:pPr>
      <w:r>
        <w:t xml:space="preserve">________________</w:t>
      </w:r>
    </w:p>
    <w:sectPr>
      <w:headerReference w:type="default" r:id="rId10"/>
      <w:headerReference w:type="first" r:id="rId11"/>
      <w:footnotePr/>
      <w:endnotePr/>
      <w:type w:val="nextPage"/>
      <w:pgSz w:w="16838" w:h="11905" w:orient="landscape"/>
      <w:pgMar w:top="1275" w:right="1134" w:bottom="850" w:left="1134" w:header="187" w:footer="0" w:gutter="0"/>
      <w:pgNumType w:start="1"/>
      <w:cols w:num="1" w:sep="0" w:space="720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</w:p>
  </w:endnote>
  <w:endnote w:type="continuationSeparator" w:id="0">
    <w:p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</w:font>
  <w:font w:name="Wingdings">
    <w:panose1 w:val="05000000000000000000"/>
  </w:font>
  <w:font w:name="Courier New">
    <w:panose1 w:val="02070309020205020404"/>
  </w:font>
  <w:font w:name="Tahoma">
    <w:panose1 w:val="020B0604030504040204"/>
  </w:font>
  <w:font w:name="Calibri">
    <w:panose1 w:val="020F0502020204030204"/>
  </w:font>
  <w:font w:name="Arial">
    <w:panose1 w:val="020B0604020202020204"/>
  </w:font>
  <w:font w:name="SimSun">
    <w:panose1 w:val="02010600030101010101"/>
  </w:font>
  <w:font w:name="Times New Roman">
    <w:panose1 w:val="020206030504050203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</w:p>
  </w:footnote>
  <w:footnote w:type="continuationSeparator" w:id="0">
    <w:p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52"/>
      <w:jc w:val="center"/>
    </w:pPr>
    <w:r>
      <w:instrText xml:space="preserve">PAGE \* MERGEFORMAT</w:instrTex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5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4"/>
      <w:numFmt w:val="decimal"/>
      <w:isLgl w:val="false"/>
      <w:suff w:val="space"/>
      <w:lvlText w:val="%1."/>
      <w:lvlJc w:val="left"/>
      <w:pPr/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">
    <w:multiLevelType w:val="hybridMultilevel"/>
    <w:lvl w:ilvl="0">
      <w:start w:val="2"/>
      <w:numFmt w:val="decimal"/>
      <w:isLgl w:val="false"/>
      <w:suff w:val="space"/>
      <w:lvlText w:val="%1)"/>
      <w:lvlJc w:val="left"/>
      <w:pPr/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">
    <w:multiLevelType w:val="hybridMultilevel"/>
    <w:lvl w:ilvl="0">
      <w:start w:val="3"/>
      <w:numFmt w:val="decimal"/>
      <w:isLgl w:val="false"/>
      <w:suff w:val="space"/>
      <w:lvlText w:val="%1."/>
      <w:lvlJc w:val="left"/>
      <w:pPr/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3">
    <w:multiLevelType w:val="hybridMultilevel"/>
    <w:lvl w:ilvl="0">
      <w:start w:val="4"/>
      <w:numFmt w:val="decimal"/>
      <w:isLgl w:val="false"/>
      <w:suff w:val="space"/>
      <w:lvlText w:val="%1."/>
      <w:lvlJc w:val="left"/>
      <w:pPr/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42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5">
    <w:multiLevelType w:val="hybridMultilevel"/>
    <w:lvl w:ilvl="0">
      <w:start w:val="4"/>
      <w:numFmt w:val="decimal"/>
      <w:isLgl w:val="false"/>
      <w:suff w:val="space"/>
      <w:lvlText w:val="%1."/>
      <w:lvlJc w:val="left"/>
      <w:pPr/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5"/>
  </w:num>
  <w:num w:numId="6">
    <w:abstractNumId w:val="6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useFELayout w:val="true"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Times New Roman" w:hAnsi="Times New Roman" w:eastAsia="SimSun" w:cs="Times New Roman"/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708" w:default="1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709">
    <w:name w:val="Heading 1"/>
    <w:basedOn w:val="708"/>
    <w:next w:val="708"/>
    <w:link w:val="902"/>
    <w:qFormat/>
    <w:pPr>
      <w:keepNext/>
      <w:spacing w:after="0" w:line="240" w:lineRule="auto"/>
      <w:jc w:val="center"/>
      <w:outlineLvl w:val="0"/>
    </w:pPr>
    <w:rPr>
      <w:b/>
      <w:bCs/>
      <w:sz w:val="28"/>
      <w:szCs w:val="28"/>
      <w:lang w:eastAsia="ru-RU"/>
    </w:rPr>
  </w:style>
  <w:style w:type="paragraph" w:styleId="710">
    <w:name w:val="Heading 2"/>
    <w:basedOn w:val="708"/>
    <w:next w:val="708"/>
    <w:link w:val="903"/>
    <w:qFormat/>
    <w:pPr>
      <w:keepNext/>
      <w:spacing w:after="0" w:line="240" w:lineRule="auto"/>
      <w:jc w:val="center"/>
      <w:outlineLvl w:val="1"/>
    </w:pPr>
    <w:rPr>
      <w:b/>
      <w:bCs/>
      <w:sz w:val="24"/>
      <w:szCs w:val="24"/>
      <w:lang w:eastAsia="ru-RU"/>
    </w:rPr>
  </w:style>
  <w:style w:type="paragraph" w:styleId="711">
    <w:name w:val="Heading 3"/>
    <w:basedOn w:val="708"/>
    <w:next w:val="708"/>
    <w:link w:val="904"/>
    <w:qFormat/>
    <w:pPr>
      <w:keepNext/>
      <w:spacing w:after="0" w:line="240" w:lineRule="auto"/>
      <w:jc w:val="center"/>
      <w:outlineLvl w:val="2"/>
    </w:pPr>
    <w:rPr>
      <w:sz w:val="28"/>
      <w:szCs w:val="28"/>
      <w:lang w:eastAsia="ru-RU"/>
    </w:rPr>
  </w:style>
  <w:style w:type="paragraph" w:styleId="712">
    <w:name w:val="Heading 4"/>
    <w:basedOn w:val="708"/>
    <w:next w:val="708"/>
    <w:link w:val="736"/>
    <w:uiPriority w:val="9"/>
    <w:unhideWhenUsed/>
    <w:qFormat/>
    <w:pPr>
      <w:keepNext/>
      <w:keepLines/>
      <w:spacing w:before="32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713">
    <w:name w:val="Heading 5"/>
    <w:basedOn w:val="708"/>
    <w:next w:val="708"/>
    <w:link w:val="737"/>
    <w:uiPriority w:val="9"/>
    <w:unhideWhenUsed/>
    <w:qFormat/>
    <w:pPr>
      <w:keepNext/>
      <w:keepLines/>
      <w:spacing w:before="32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714">
    <w:name w:val="Heading 6"/>
    <w:basedOn w:val="708"/>
    <w:next w:val="708"/>
    <w:link w:val="738"/>
    <w:uiPriority w:val="9"/>
    <w:unhideWhenUsed/>
    <w:qFormat/>
    <w:pPr>
      <w:keepNext/>
      <w:keepLines/>
      <w:spacing w:before="320"/>
      <w:outlineLvl w:val="5"/>
    </w:pPr>
    <w:rPr>
      <w:rFonts w:ascii="Arial" w:hAnsi="Arial" w:eastAsia="Arial" w:cs="Arial"/>
      <w:b/>
      <w:bCs/>
    </w:rPr>
  </w:style>
  <w:style w:type="paragraph" w:styleId="715">
    <w:name w:val="Heading 7"/>
    <w:basedOn w:val="708"/>
    <w:next w:val="708"/>
    <w:link w:val="739"/>
    <w:uiPriority w:val="9"/>
    <w:unhideWhenUsed/>
    <w:qFormat/>
    <w:pPr>
      <w:keepNext/>
      <w:keepLines/>
      <w:spacing w:before="320"/>
      <w:outlineLvl w:val="6"/>
    </w:pPr>
    <w:rPr>
      <w:rFonts w:ascii="Arial" w:hAnsi="Arial" w:eastAsia="Arial" w:cs="Arial"/>
      <w:b/>
      <w:bCs/>
      <w:i/>
      <w:iCs/>
    </w:rPr>
  </w:style>
  <w:style w:type="paragraph" w:styleId="716">
    <w:name w:val="Heading 8"/>
    <w:basedOn w:val="708"/>
    <w:next w:val="708"/>
    <w:link w:val="740"/>
    <w:uiPriority w:val="9"/>
    <w:unhideWhenUsed/>
    <w:qFormat/>
    <w:pPr>
      <w:keepNext/>
      <w:keepLines/>
      <w:spacing w:before="320"/>
      <w:outlineLvl w:val="7"/>
    </w:pPr>
    <w:rPr>
      <w:rFonts w:ascii="Arial" w:hAnsi="Arial" w:eastAsia="Arial" w:cs="Arial"/>
      <w:i/>
      <w:iCs/>
    </w:rPr>
  </w:style>
  <w:style w:type="paragraph" w:styleId="717">
    <w:name w:val="Heading 9"/>
    <w:basedOn w:val="708"/>
    <w:next w:val="708"/>
    <w:link w:val="741"/>
    <w:uiPriority w:val="9"/>
    <w:unhideWhenUsed/>
    <w:qFormat/>
    <w:pPr>
      <w:keepNext/>
      <w:keepLines/>
      <w:spacing w:before="32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18" w:default="1">
    <w:name w:val="Default Paragraph Font"/>
    <w:uiPriority w:val="1"/>
    <w:semiHidden/>
    <w:unhideWhenUsed/>
  </w:style>
  <w:style w:type="table" w:styleId="719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20" w:default="1">
    <w:name w:val="No List"/>
    <w:uiPriority w:val="99"/>
    <w:semiHidden/>
    <w:unhideWhenUsed/>
  </w:style>
  <w:style w:type="character" w:styleId="721" w:customStyle="1">
    <w:name w:val="Heading 4 Char"/>
    <w:basedOn w:val="718"/>
    <w:uiPriority w:val="9"/>
    <w:rPr>
      <w:rFonts w:ascii="Arial" w:hAnsi="Arial" w:eastAsia="Arial" w:cs="Arial"/>
      <w:b/>
      <w:bCs/>
      <w:sz w:val="26"/>
      <w:szCs w:val="26"/>
    </w:rPr>
  </w:style>
  <w:style w:type="character" w:styleId="722" w:customStyle="1">
    <w:name w:val="Heading 5 Char"/>
    <w:basedOn w:val="718"/>
    <w:uiPriority w:val="9"/>
    <w:rPr>
      <w:rFonts w:ascii="Arial" w:hAnsi="Arial" w:eastAsia="Arial" w:cs="Arial"/>
      <w:b/>
      <w:bCs/>
      <w:sz w:val="24"/>
      <w:szCs w:val="24"/>
    </w:rPr>
  </w:style>
  <w:style w:type="character" w:styleId="723" w:customStyle="1">
    <w:name w:val="Heading 6 Char"/>
    <w:basedOn w:val="718"/>
    <w:uiPriority w:val="9"/>
    <w:rPr>
      <w:rFonts w:ascii="Arial" w:hAnsi="Arial" w:eastAsia="Arial" w:cs="Arial"/>
      <w:b/>
      <w:bCs/>
      <w:sz w:val="22"/>
      <w:szCs w:val="22"/>
    </w:rPr>
  </w:style>
  <w:style w:type="character" w:styleId="724" w:customStyle="1">
    <w:name w:val="Heading 7 Char"/>
    <w:basedOn w:val="718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25" w:customStyle="1">
    <w:name w:val="Heading 8 Char"/>
    <w:basedOn w:val="718"/>
    <w:uiPriority w:val="9"/>
    <w:rPr>
      <w:rFonts w:ascii="Arial" w:hAnsi="Arial" w:eastAsia="Arial" w:cs="Arial"/>
      <w:i/>
      <w:iCs/>
      <w:sz w:val="22"/>
      <w:szCs w:val="22"/>
    </w:rPr>
  </w:style>
  <w:style w:type="character" w:styleId="726" w:customStyle="1">
    <w:name w:val="Heading 9 Char"/>
    <w:basedOn w:val="718"/>
    <w:uiPriority w:val="9"/>
    <w:rPr>
      <w:rFonts w:ascii="Arial" w:hAnsi="Arial" w:eastAsia="Arial" w:cs="Arial"/>
      <w:i/>
      <w:iCs/>
      <w:sz w:val="21"/>
      <w:szCs w:val="21"/>
    </w:rPr>
  </w:style>
  <w:style w:type="character" w:styleId="727" w:customStyle="1">
    <w:name w:val="Title Char"/>
    <w:basedOn w:val="718"/>
    <w:uiPriority w:val="10"/>
    <w:rPr>
      <w:sz w:val="48"/>
      <w:szCs w:val="48"/>
    </w:rPr>
  </w:style>
  <w:style w:type="character" w:styleId="728" w:customStyle="1">
    <w:name w:val="Subtitle Char"/>
    <w:basedOn w:val="718"/>
    <w:uiPriority w:val="11"/>
    <w:rPr>
      <w:sz w:val="24"/>
      <w:szCs w:val="24"/>
    </w:rPr>
  </w:style>
  <w:style w:type="character" w:styleId="729" w:customStyle="1">
    <w:name w:val="Quote Char"/>
    <w:uiPriority w:val="29"/>
    <w:rPr>
      <w:i/>
    </w:rPr>
  </w:style>
  <w:style w:type="character" w:styleId="730" w:customStyle="1">
    <w:name w:val="Intense Quote Char"/>
    <w:uiPriority w:val="30"/>
    <w:rPr>
      <w:i/>
    </w:rPr>
  </w:style>
  <w:style w:type="character" w:styleId="731" w:customStyle="1">
    <w:name w:val="Caption Char"/>
    <w:basedOn w:val="718"/>
    <w:uiPriority w:val="35"/>
    <w:rPr>
      <w:b/>
      <w:bCs/>
      <w:color w:val="4f81bd" w:themeColor="accent1"/>
      <w:sz w:val="18"/>
      <w:szCs w:val="18"/>
    </w:rPr>
  </w:style>
  <w:style w:type="character" w:styleId="732" w:customStyle="1">
    <w:name w:val="Endnote Text Char"/>
    <w:uiPriority w:val="99"/>
    <w:rPr>
      <w:sz w:val="20"/>
    </w:rPr>
  </w:style>
  <w:style w:type="character" w:styleId="733" w:customStyle="1">
    <w:name w:val="Heading 1 Char"/>
    <w:uiPriority w:val="9"/>
    <w:rPr>
      <w:rFonts w:ascii="Arial" w:hAnsi="Arial" w:eastAsia="Arial" w:cs="Arial"/>
      <w:sz w:val="40"/>
      <w:szCs w:val="40"/>
    </w:rPr>
  </w:style>
  <w:style w:type="character" w:styleId="734" w:customStyle="1">
    <w:name w:val="Heading 2 Char"/>
    <w:uiPriority w:val="9"/>
    <w:rPr>
      <w:rFonts w:ascii="Arial" w:hAnsi="Arial" w:eastAsia="Arial" w:cs="Arial"/>
      <w:sz w:val="34"/>
    </w:rPr>
  </w:style>
  <w:style w:type="character" w:styleId="735" w:customStyle="1">
    <w:name w:val="Heading 3 Char"/>
    <w:uiPriority w:val="9"/>
    <w:rPr>
      <w:rFonts w:ascii="Arial" w:hAnsi="Arial" w:eastAsia="Arial" w:cs="Arial"/>
      <w:sz w:val="30"/>
      <w:szCs w:val="30"/>
    </w:rPr>
  </w:style>
  <w:style w:type="character" w:styleId="736" w:customStyle="1">
    <w:name w:val="Заголовок 4 Знак"/>
    <w:link w:val="712"/>
    <w:uiPriority w:val="9"/>
    <w:rPr>
      <w:rFonts w:ascii="Arial" w:hAnsi="Arial" w:eastAsia="Arial" w:cs="Arial"/>
      <w:b/>
      <w:bCs/>
      <w:sz w:val="26"/>
      <w:szCs w:val="26"/>
    </w:rPr>
  </w:style>
  <w:style w:type="character" w:styleId="737" w:customStyle="1">
    <w:name w:val="Заголовок 5 Знак"/>
    <w:link w:val="713"/>
    <w:uiPriority w:val="9"/>
    <w:rPr>
      <w:rFonts w:ascii="Arial" w:hAnsi="Arial" w:eastAsia="Arial" w:cs="Arial"/>
      <w:b/>
      <w:bCs/>
      <w:sz w:val="24"/>
      <w:szCs w:val="24"/>
    </w:rPr>
  </w:style>
  <w:style w:type="character" w:styleId="738" w:customStyle="1">
    <w:name w:val="Заголовок 6 Знак"/>
    <w:link w:val="714"/>
    <w:uiPriority w:val="9"/>
    <w:rPr>
      <w:rFonts w:ascii="Arial" w:hAnsi="Arial" w:eastAsia="Arial" w:cs="Arial"/>
      <w:b/>
      <w:bCs/>
      <w:sz w:val="22"/>
      <w:szCs w:val="22"/>
    </w:rPr>
  </w:style>
  <w:style w:type="character" w:styleId="739" w:customStyle="1">
    <w:name w:val="Заголовок 7 Знак"/>
    <w:link w:val="71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40" w:customStyle="1">
    <w:name w:val="Заголовок 8 Знак"/>
    <w:link w:val="716"/>
    <w:uiPriority w:val="9"/>
    <w:rPr>
      <w:rFonts w:ascii="Arial" w:hAnsi="Arial" w:eastAsia="Arial" w:cs="Arial"/>
      <w:i/>
      <w:iCs/>
      <w:sz w:val="22"/>
      <w:szCs w:val="22"/>
    </w:rPr>
  </w:style>
  <w:style w:type="character" w:styleId="741" w:customStyle="1">
    <w:name w:val="Заголовок 9 Знак"/>
    <w:link w:val="717"/>
    <w:uiPriority w:val="9"/>
    <w:rPr>
      <w:rFonts w:ascii="Arial" w:hAnsi="Arial" w:eastAsia="Arial" w:cs="Arial"/>
      <w:i/>
      <w:iCs/>
      <w:sz w:val="21"/>
      <w:szCs w:val="21"/>
    </w:rPr>
  </w:style>
  <w:style w:type="paragraph" w:styleId="742">
    <w:name w:val="List Paragraph"/>
    <w:basedOn w:val="708"/>
    <w:uiPriority w:val="99"/>
    <w:qFormat/>
    <w:pPr>
      <w:spacing w:after="160" w:line="256" w:lineRule="auto"/>
      <w:ind w:left="720"/>
      <w:contextualSpacing/>
    </w:pPr>
    <w:rPr>
      <w:rFonts w:ascii="Calibri" w:hAnsi="Calibri" w:eastAsia="Calibri"/>
    </w:rPr>
  </w:style>
  <w:style w:type="paragraph" w:styleId="743">
    <w:name w:val="No Spacing"/>
    <w:uiPriority w:val="1"/>
    <w:qFormat/>
  </w:style>
  <w:style w:type="paragraph" w:styleId="744">
    <w:name w:val="Title"/>
    <w:basedOn w:val="708"/>
    <w:next w:val="708"/>
    <w:link w:val="745"/>
    <w:uiPriority w:val="10"/>
    <w:qFormat/>
    <w:pPr>
      <w:spacing w:before="300"/>
      <w:contextualSpacing/>
    </w:pPr>
    <w:rPr>
      <w:sz w:val="48"/>
      <w:szCs w:val="48"/>
    </w:rPr>
  </w:style>
  <w:style w:type="character" w:styleId="745" w:customStyle="1">
    <w:name w:val="Заголовок Знак"/>
    <w:link w:val="744"/>
    <w:uiPriority w:val="10"/>
    <w:rPr>
      <w:sz w:val="48"/>
      <w:szCs w:val="48"/>
    </w:rPr>
  </w:style>
  <w:style w:type="paragraph" w:styleId="746">
    <w:name w:val="Subtitle"/>
    <w:basedOn w:val="708"/>
    <w:next w:val="708"/>
    <w:link w:val="747"/>
    <w:uiPriority w:val="11"/>
    <w:qFormat/>
    <w:pPr>
      <w:spacing w:before="200"/>
    </w:pPr>
    <w:rPr>
      <w:sz w:val="24"/>
      <w:szCs w:val="24"/>
    </w:rPr>
  </w:style>
  <w:style w:type="character" w:styleId="747" w:customStyle="1">
    <w:name w:val="Подзаголовок Знак"/>
    <w:link w:val="746"/>
    <w:uiPriority w:val="11"/>
    <w:rPr>
      <w:sz w:val="24"/>
      <w:szCs w:val="24"/>
    </w:rPr>
  </w:style>
  <w:style w:type="paragraph" w:styleId="748">
    <w:name w:val="Quote"/>
    <w:basedOn w:val="708"/>
    <w:next w:val="708"/>
    <w:link w:val="749"/>
    <w:uiPriority w:val="29"/>
    <w:qFormat/>
    <w:pPr>
      <w:ind w:left="720" w:right="720"/>
    </w:pPr>
    <w:rPr>
      <w:i/>
    </w:rPr>
  </w:style>
  <w:style w:type="character" w:styleId="749" w:customStyle="1">
    <w:name w:val="Цитата 2 Знак"/>
    <w:link w:val="748"/>
    <w:uiPriority w:val="29"/>
    <w:rPr>
      <w:i/>
    </w:rPr>
  </w:style>
  <w:style w:type="paragraph" w:styleId="750">
    <w:name w:val="Intense Quote"/>
    <w:basedOn w:val="708"/>
    <w:next w:val="708"/>
    <w:link w:val="751"/>
    <w:uiPriority w:val="30"/>
    <w:qFormat/>
    <w:pPr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  <w:shd w:val="clear" w:color="auto" w:fill="f2f2f2"/>
      <w:ind w:left="720" w:right="720"/>
    </w:pPr>
    <w:rPr>
      <w:i/>
    </w:rPr>
  </w:style>
  <w:style w:type="character" w:styleId="751" w:customStyle="1">
    <w:name w:val="Выделенная цитата Знак"/>
    <w:link w:val="750"/>
    <w:uiPriority w:val="30"/>
    <w:rPr>
      <w:i/>
    </w:rPr>
  </w:style>
  <w:style w:type="paragraph" w:styleId="752">
    <w:name w:val="Header"/>
    <w:basedOn w:val="708"/>
    <w:link w:val="916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753" w:customStyle="1">
    <w:name w:val="Header Char"/>
    <w:uiPriority w:val="99"/>
  </w:style>
  <w:style w:type="paragraph" w:styleId="754">
    <w:name w:val="Footer"/>
    <w:basedOn w:val="708"/>
    <w:link w:val="917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755" w:customStyle="1">
    <w:name w:val="Footer Char"/>
    <w:uiPriority w:val="99"/>
  </w:style>
  <w:style w:type="paragraph" w:styleId="756">
    <w:name w:val="Caption"/>
    <w:basedOn w:val="708"/>
    <w:next w:val="708"/>
    <w:link w:val="757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styleId="757" w:customStyle="1">
    <w:name w:val="Название объекта Знак"/>
    <w:link w:val="756"/>
    <w:uiPriority w:val="35"/>
    <w:rPr>
      <w:b/>
      <w:bCs/>
      <w:color w:val="4f81bd" w:themeColor="accent1"/>
      <w:sz w:val="18"/>
      <w:szCs w:val="18"/>
    </w:rPr>
  </w:style>
  <w:style w:type="table" w:styleId="758">
    <w:name w:val="Table Grid"/>
    <w:basedOn w:val="719"/>
    <w:uiPriority w:val="59"/>
    <w:tblPr/>
  </w:style>
  <w:style w:type="table" w:styleId="759" w:customStyle="1">
    <w:name w:val="Table Grid Light"/>
    <w:uiPriority w:val="59"/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60">
    <w:name w:val="Plain Table 1"/>
    <w:uiPriority w:val="59"/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61">
    <w:name w:val="Plain Table 2"/>
    <w:uiPriority w:val="59"/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62">
    <w:name w:val="Plain Table 3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63">
    <w:name w:val="Plain Table 4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Plain Table 5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tcBorders>
          <w:right w:val="single" w:color="404040" w:sz="4" w:space="0"/>
        </w:tcBorders>
        <w:shd w:val="clear" w:color="ffffff" w:fill="auto"/>
      </w:tcPr>
    </w:tblStylePr>
    <w:tblStylePr w:type="firstRow">
      <w:rPr>
        <w:i/>
        <w:color w:val="404040"/>
      </w:rPr>
      <w:tcPr>
        <w:tcBorders>
          <w:left w:val="none" w:color="000000" w:sz="4" w:space="0"/>
          <w:bottom w:val="single" w:color="40404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left w:val="single" w:color="404040" w:sz="4" w:space="0"/>
        </w:tcBorders>
        <w:shd w:val="clear" w:color="ffffff" w:fill="auto"/>
      </w:tcPr>
    </w:tblStylePr>
    <w:tblStylePr w:type="lastRow">
      <w:rPr>
        <w:i/>
        <w:color w:val="404040"/>
      </w:rPr>
      <w:tcPr>
        <w:tcBorders>
          <w:top w:val="single" w:color="404040" w:sz="4" w:space="0"/>
          <w:left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styleId="765">
    <w:name w:val="Grid Table 1 Light"/>
    <w:uiPriority w:val="99"/>
    <w:tblPr>
      <w:tblStyleRowBandSize w:val="1"/>
      <w:tblStyleColBandSize w:val="1"/>
      <w:tblInd w:w="0" w:type="dxa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 w:customStyle="1">
    <w:name w:val="Grid Table 1 Light - Accent 1"/>
    <w:uiPriority w:val="99"/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 w:customStyle="1">
    <w:name w:val="Grid Table 1 Light - Accent 2"/>
    <w:uiPriority w:val="99"/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 w:customStyle="1">
    <w:name w:val="Grid Table 1 Light - Accent 3"/>
    <w:uiPriority w:val="99"/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 w:customStyle="1">
    <w:name w:val="Grid Table 1 Light - Accent 4"/>
    <w:uiPriority w:val="99"/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 w:customStyle="1">
    <w:name w:val="Grid Table 1 Light - Accent 5"/>
    <w:uiPriority w:val="99"/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 w:customStyle="1">
    <w:name w:val="Grid Table 1 Light - Accent 6"/>
    <w:uiPriority w:val="99"/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Grid Table 2"/>
    <w:uiPriority w:val="99"/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  <w:shd w:val="clear" w:color="ffffff" w:fill="auto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styleId="773" w:customStyle="1">
    <w:name w:val="Grid Table 2 - Accent 1"/>
    <w:uiPriority w:val="99"/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  <w:shd w:val="clear" w:color="ffffff" w:fill="auto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styleId="774" w:customStyle="1">
    <w:name w:val="Grid Table 2 - Accent 2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  <w:shd w:val="clear" w:color="ffffff" w:fill="auto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styleId="775" w:customStyle="1">
    <w:name w:val="Grid Table 2 - Accent 3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  <w:shd w:val="clear" w:color="ffffff" w:fill="auto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styleId="776" w:customStyle="1">
    <w:name w:val="Grid Table 2 - Accent 4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  <w:shd w:val="clear" w:color="ffffff" w:fill="auto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styleId="777" w:customStyle="1">
    <w:name w:val="Grid Table 2 - Accent 5"/>
    <w:uiPriority w:val="99"/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  <w:shd w:val="clear" w:color="ffffff" w:fill="auto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styleId="778" w:customStyle="1">
    <w:name w:val="Grid Table 2 - Accent 6"/>
    <w:uiPriority w:val="99"/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  <w:shd w:val="clear" w:color="ffffff" w:fill="auto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styleId="779">
    <w:name w:val="Grid Table 3"/>
    <w:uiPriority w:val="99"/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styleId="780" w:customStyle="1">
    <w:name w:val="Grid Table 3 - Accent 1"/>
    <w:uiPriority w:val="99"/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styleId="781" w:customStyle="1">
    <w:name w:val="Grid Table 3 - Accent 2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styleId="782" w:customStyle="1">
    <w:name w:val="Grid Table 3 - Accent 3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styleId="783" w:customStyle="1">
    <w:name w:val="Grid Table 3 - Accent 4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styleId="784" w:customStyle="1">
    <w:name w:val="Grid Table 3 - Accent 5"/>
    <w:uiPriority w:val="99"/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styleId="785" w:customStyle="1">
    <w:name w:val="Grid Table 3 - Accent 6"/>
    <w:uiPriority w:val="99"/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styleId="786">
    <w:name w:val="Grid Table 4"/>
    <w:uiPriority w:val="59"/>
    <w:tblPr>
      <w:tblStyleRowBandSize w:val="1"/>
      <w:tblStyleColBandSize w:val="1"/>
      <w:tblInd w:w="0" w:type="dxa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87" w:customStyle="1">
    <w:name w:val="Grid Table 4 - Accent 1"/>
    <w:uiPriority w:val="5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  <w:shd w:val="clear" w:color="5d8ac2" w:themeColor="accent1" w:themeTint="EA" w:fill="5d8ac2" w:themeFill="accent1" w:themeFillTint="E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788" w:customStyle="1">
    <w:name w:val="Grid Table 4 - Accent 2"/>
    <w:uiPriority w:val="5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789" w:customStyle="1">
    <w:name w:val="Grid Table 4 - Accent 3"/>
    <w:uiPriority w:val="5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  <w:shd w:val="clear" w:color="9abb59" w:themeColor="accent3" w:themeTint="FE" w:fill="9abb59" w:themeFill="accent3" w:themeFillTint="FE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790" w:customStyle="1">
    <w:name w:val="Grid Table 4 - Accent 4"/>
    <w:uiPriority w:val="5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791" w:customStyle="1">
    <w:name w:val="Grid Table 4 - Accent 5"/>
    <w:uiPriority w:val="5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792" w:customStyle="1">
    <w:name w:val="Grid Table 4 - Accent 6"/>
    <w:uiPriority w:val="5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793">
    <w:name w:val="Grid Table 5 Dark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000000" w:themeColor="text1" w:fill="000000" w:themeFill="text1"/>
      </w:tcPr>
    </w:tblStylePr>
  </w:style>
  <w:style w:type="table" w:styleId="794" w:customStyle="1">
    <w:name w:val="Grid Table 5 Dark- Accent 1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4f81bd" w:themeColor="accent1" w:fill="4f81bd" w:themeFill="accent1"/>
      </w:tcPr>
    </w:tblStylePr>
  </w:style>
  <w:style w:type="table" w:styleId="795" w:customStyle="1">
    <w:name w:val="Grid Table 5 Dark - Accent 2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c0504d" w:themeColor="accent2" w:fill="c0504d" w:themeFill="accent2"/>
      </w:tcPr>
    </w:tblStylePr>
  </w:style>
  <w:style w:type="table" w:styleId="796" w:customStyle="1">
    <w:name w:val="Grid Table 5 Dark - Accent 3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9bbb59" w:themeColor="accent3" w:fill="9bbb59" w:themeFill="accent3"/>
      </w:tcPr>
    </w:tblStylePr>
  </w:style>
  <w:style w:type="table" w:styleId="797" w:customStyle="1">
    <w:name w:val="Grid Table 5 Dark- Accent 4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8064a2" w:themeColor="accent4" w:fill="8064a2" w:themeFill="accent4"/>
      </w:tcPr>
    </w:tblStylePr>
  </w:style>
  <w:style w:type="table" w:styleId="798" w:customStyle="1">
    <w:name w:val="Grid Table 5 Dark - Accent 5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4bacc6" w:themeColor="accent5" w:fill="4bacc6" w:themeFill="accent5"/>
      </w:tcPr>
    </w:tblStylePr>
  </w:style>
  <w:style w:type="table" w:styleId="799" w:customStyle="1">
    <w:name w:val="Grid Table 5 Dark - Accent 6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f79646" w:themeColor="accent6" w:fill="f79646" w:themeFill="accent6"/>
      </w:tcPr>
    </w:tblStylePr>
  </w:style>
  <w:style w:type="table" w:styleId="800">
    <w:name w:val="Grid Table 6 Colorful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801" w:customStyle="1">
    <w:name w:val="Grid Table 6 Colorful - Accent 1"/>
    <w:uiPriority w:val="99"/>
    <w:tblPr>
      <w:tblStyleRowBandSize w:val="1"/>
      <w:tblStyleColBandSize w:val="1"/>
      <w:tblInd w:w="0" w:type="dxa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802" w:customStyle="1">
    <w:name w:val="Grid Table 6 Colorful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803" w:customStyle="1">
    <w:name w:val="Grid Table 6 Colorful - Accent 3"/>
    <w:uiPriority w:val="99"/>
    <w:tblPr>
      <w:tblStyleRowBandSize w:val="1"/>
      <w:tblStyleColBandSize w:val="1"/>
      <w:tblInd w:w="0" w:type="dxa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804" w:customStyle="1">
    <w:name w:val="Grid Table 6 Colorful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805" w:customStyle="1">
    <w:name w:val="Grid Table 6 Colorful - Accent 5"/>
    <w:uiPriority w:val="99"/>
    <w:tblPr>
      <w:tblStyleRowBandSize w:val="1"/>
      <w:tblStyleColBandSize w:val="1"/>
      <w:tblInd w:w="0" w:type="dxa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06" w:customStyle="1">
    <w:name w:val="Grid Table 6 Colorful - Accent 6"/>
    <w:uiPriority w:val="99"/>
    <w:tblPr>
      <w:tblStyleRowBandSize w:val="1"/>
      <w:tblStyleColBandSize w:val="1"/>
      <w:tblInd w:w="0" w:type="dxa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07">
    <w:name w:val="Grid Table 7 Colorful"/>
    <w:uiPriority w:val="99"/>
    <w:tblPr>
      <w:tblStyleRowBandSize w:val="1"/>
      <w:tblStyleColBandSize w:val="1"/>
      <w:tblInd w:w="0" w:type="dxa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  <w:shd w:val="clear" w:color="ffffff" w:fill="auto"/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808" w:customStyle="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6BFDD" w:themeColor="accent1" w:themeTint="80" w:sz="4" w:space="0"/>
        </w:tcBorders>
        <w:shd w:val="clear" w:color="ffffff" w:fill="auto"/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A6BFDD" w:themeColor="accent1" w:themeTint="8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tcBorders>
          <w:top w:val="none" w:color="000000" w:sz="4" w:space="0"/>
          <w:left w:val="single" w:color="A6BFDD" w:themeColor="accent1" w:themeTint="8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tcBorders>
          <w:top w:val="single" w:color="A6BFDD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809" w:customStyle="1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  <w:shd w:val="clear" w:color="ffffff" w:fill="auto"/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810" w:customStyle="1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ABB59" w:themeColor="accent3" w:themeTint="FE" w:sz="4" w:space="0"/>
        </w:tcBorders>
        <w:shd w:val="clear" w:color="ffffff" w:fill="auto"/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9ABB59" w:themeColor="accent3" w:themeTint="FE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tcBorders>
          <w:top w:val="none" w:color="000000" w:sz="4" w:space="0"/>
          <w:left w:val="single" w:color="9ABB59" w:themeColor="accent3" w:themeTint="FE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811" w:customStyle="1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  <w:shd w:val="clear" w:color="ffffff" w:fill="auto"/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812" w:customStyle="1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9D0DE" w:themeColor="accent5" w:themeTint="90" w:sz="4" w:space="0"/>
        </w:tcBorders>
        <w:shd w:val="clear" w:color="ffffff" w:fill="auto"/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tcBorders>
          <w:top w:val="none" w:color="000000" w:sz="4" w:space="0"/>
          <w:left w:val="single" w:color="99D0DE" w:themeColor="accent5" w:themeTint="9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813" w:customStyle="1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396" w:themeColor="accent6" w:themeTint="90" w:sz="4" w:space="0"/>
        </w:tcBorders>
        <w:shd w:val="clear" w:color="ffffff" w:fill="auto"/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tcBorders>
          <w:top w:val="none" w:color="000000" w:sz="4" w:space="0"/>
          <w:left w:val="single" w:color="FAC396" w:themeColor="accent6" w:themeTint="9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814">
    <w:name w:val="List Table 1 Light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5" w:customStyle="1">
    <w:name w:val="List Table 1 Light - Accent 1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6" w:customStyle="1">
    <w:name w:val="List Table 1 Light - Accent 2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7" w:customStyle="1">
    <w:name w:val="List Table 1 Light - Accent 3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8" w:customStyle="1">
    <w:name w:val="List Table 1 Light - Accent 4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9" w:customStyle="1">
    <w:name w:val="List Table 1 Light - Accent 5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0" w:customStyle="1">
    <w:name w:val="List Table 1 Light - Accent 6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1">
    <w:name w:val="List Table 2"/>
    <w:uiPriority w:val="99"/>
    <w:tblPr>
      <w:tblStyleRowBandSize w:val="1"/>
      <w:tblStyleColBandSize w:val="1"/>
      <w:tblInd w:w="0" w:type="dxa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822" w:customStyle="1">
    <w:name w:val="List Table 2 - Accent 1"/>
    <w:uiPriority w:val="9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823" w:customStyle="1">
    <w:name w:val="List Table 2 - Accent 2"/>
    <w:uiPriority w:val="9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824" w:customStyle="1">
    <w:name w:val="List Table 2 - Accent 3"/>
    <w:uiPriority w:val="9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825" w:customStyle="1">
    <w:name w:val="List Table 2 - Accent 4"/>
    <w:uiPriority w:val="9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826" w:customStyle="1">
    <w:name w:val="List Table 2 - Accent 5"/>
    <w:uiPriority w:val="9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827" w:customStyle="1">
    <w:name w:val="List Table 2 - Accent 6"/>
    <w:uiPriority w:val="9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828">
    <w:name w:val="List Table 3"/>
    <w:uiPriority w:val="99"/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9" w:customStyle="1">
    <w:name w:val="List Table 3 - Accent 1"/>
    <w:uiPriority w:val="99"/>
    <w:tblPr>
      <w:tblStyleRowBandSize w:val="1"/>
      <w:tblStyleColBandSize w:val="1"/>
      <w:tblInd w:w="0" w:type="dxa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0" w:customStyle="1">
    <w:name w:val="List Table 3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1" w:customStyle="1">
    <w:name w:val="List Table 3 - Accent 3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2" w:customStyle="1">
    <w:name w:val="List Table 3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3" w:customStyle="1">
    <w:name w:val="List Table 3 - Accent 5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4" w:customStyle="1">
    <w:name w:val="List Table 3 - Accent 6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5">
    <w:name w:val="List Table 4"/>
    <w:uiPriority w:val="99"/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6" w:customStyle="1">
    <w:name w:val="List Table 4 - Accent 1"/>
    <w:uiPriority w:val="9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7" w:customStyle="1">
    <w:name w:val="List Table 4 - Accent 2"/>
    <w:uiPriority w:val="9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8" w:customStyle="1">
    <w:name w:val="List Table 4 - Accent 3"/>
    <w:uiPriority w:val="9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9" w:customStyle="1">
    <w:name w:val="List Table 4 - Accent 4"/>
    <w:uiPriority w:val="9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0" w:customStyle="1">
    <w:name w:val="List Table 4 - Accent 5"/>
    <w:uiPriority w:val="9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1" w:customStyle="1">
    <w:name w:val="List Table 4 - Accent 6"/>
    <w:uiPriority w:val="9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2">
    <w:name w:val="List Table 5 Dark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7f7f7f" w:themeColor="text1" w:themeTint="80" w:fill="7f7f7f" w:themeFill="text1" w:themeFillTint="80"/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7f7f7f" w:themeColor="text1" w:themeTint="80" w:fill="7f7f7f" w:themeFill="text1" w:themeFillTint="80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7f7f7f" w:themeColor="text1" w:themeTint="80" w:fill="7f7f7f" w:themeFill="text1" w:themeFillTint="80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7F7F7F" w:themeColor="text1" w:themeTint="80" w:sz="32" w:space="0"/>
          <w:bottom w:val="single" w:color="FFFFFF" w:themeColor="light1" w:sz="12" w:space="0"/>
        </w:tcBorders>
        <w:shd w:val="clear" w:color="7f7f7f" w:themeColor="text1" w:themeTint="80" w:fill="7f7f7f" w:themeFill="text1" w:themeFillTint="80"/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43" w:customStyle="1">
    <w:name w:val="List Table 5 Dark - Accent 1"/>
    <w:uiPriority w:val="99"/>
    <w:tblPr>
      <w:tblStyleRowBandSize w:val="1"/>
      <w:tblStyleColBandSize w:val="1"/>
      <w:tblInd w:w="0" w:type="dxa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4f81bd" w:themeColor="accent1" w:fill="4f81bd" w:themeFill="accent1"/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4f81bd" w:themeColor="accent1" w:fill="4f81bd" w:themeFill="accent1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4f81bd" w:themeColor="accent1" w:fill="4f81bd" w:themeFill="accent1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4F81BD" w:themeColor="accent1" w:sz="32" w:space="0"/>
          <w:bottom w:val="single" w:color="FFFFFF" w:themeColor="light1" w:sz="12" w:space="0"/>
        </w:tcBorders>
        <w:shd w:val="clear" w:color="4f81bd" w:themeColor="accent1" w:fill="4f81bd" w:themeFill="accent1"/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44" w:customStyle="1">
    <w:name w:val="List Table 5 Dark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d99695" w:themeColor="accent2" w:themeTint="97" w:fill="d99695" w:themeFill="accent2" w:themeFillTint="97"/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d99695" w:themeColor="accent2" w:themeTint="97" w:fill="d99695" w:themeFill="accent2" w:themeFillTint="97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d99695" w:themeColor="accent2" w:themeTint="97" w:fill="d99695" w:themeFill="accent2" w:themeFillTint="97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D99695" w:themeColor="accent2" w:themeTint="97" w:sz="32" w:space="0"/>
          <w:bottom w:val="single" w:color="FFFFFF" w:themeColor="light1" w:sz="12" w:space="0"/>
        </w:tcBorders>
        <w:shd w:val="clear" w:color="d99695" w:themeColor="accent2" w:themeTint="97" w:fill="d99695" w:themeFill="accent2" w:themeFillTint="97"/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45" w:customStyle="1">
    <w:name w:val="List Table 5 Dark - Accent 3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c3d69b" w:themeColor="accent3" w:themeTint="98" w:fill="c3d69b" w:themeFill="accent3" w:themeFillTint="98"/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c3d69b" w:themeColor="accent3" w:themeTint="98" w:fill="c3d69b" w:themeFill="accent3" w:themeFillTint="98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c3d69b" w:themeColor="accent3" w:themeTint="98" w:fill="c3d69b" w:themeFill="accent3" w:themeFillTint="98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C3D69B" w:themeColor="accent3" w:themeTint="98" w:sz="32" w:space="0"/>
          <w:bottom w:val="single" w:color="FFFFFF" w:themeColor="light1" w:sz="12" w:space="0"/>
        </w:tcBorders>
        <w:shd w:val="clear" w:color="c3d69b" w:themeColor="accent3" w:themeTint="98" w:fill="c3d69b" w:themeFill="accent3" w:themeFillTint="98"/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46" w:customStyle="1">
    <w:name w:val="List Table 5 Dark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b2a1c6" w:themeColor="accent4" w:themeTint="9A" w:fill="b2a1c6" w:themeFill="accent4" w:themeFillTint="9A"/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b2a1c6" w:themeColor="accent4" w:themeTint="9A" w:fill="b2a1c6" w:themeFill="accent4" w:themeFillTint="9A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b2a1c6" w:themeColor="accent4" w:themeTint="9A" w:fill="b2a1c6" w:themeFill="accent4" w:themeFillTint="9A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B2A1C6" w:themeColor="accent4" w:themeTint="9A" w:sz="32" w:space="0"/>
          <w:bottom w:val="single" w:color="FFFFFF" w:themeColor="light1" w:sz="12" w:space="0"/>
        </w:tcBorders>
        <w:shd w:val="clear" w:color="b2a1c6" w:themeColor="accent4" w:themeTint="9A" w:fill="b2a1c6" w:themeFill="accent4" w:themeFillTint="9A"/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47" w:customStyle="1">
    <w:name w:val="List Table 5 Dark - Accent 5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92ccdc" w:themeColor="accent5" w:themeTint="9A" w:fill="92ccdc" w:themeFill="accent5" w:themeFillTint="9A"/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92ccdc" w:themeColor="accent5" w:themeTint="9A" w:fill="92ccdc" w:themeFill="accent5" w:themeFillTint="9A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92ccdc" w:themeColor="accent5" w:themeTint="9A" w:fill="92ccdc" w:themeFill="accent5" w:themeFillTint="9A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92CCDC" w:themeColor="accent5" w:themeTint="9A" w:sz="32" w:space="0"/>
          <w:bottom w:val="single" w:color="FFFFFF" w:themeColor="light1" w:sz="12" w:space="0"/>
        </w:tcBorders>
        <w:shd w:val="clear" w:color="92ccdc" w:themeColor="accent5" w:themeTint="9A" w:fill="92ccdc" w:themeFill="accent5" w:themeFillTint="9A"/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48" w:customStyle="1">
    <w:name w:val="List Table 5 Dark - Accent 6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ac090" w:themeColor="accent6" w:themeTint="98" w:fill="fac090" w:themeFill="accent6" w:themeFillTint="98"/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fac090" w:themeColor="accent6" w:themeTint="98" w:fill="fac090" w:themeFill="accent6" w:themeFillTint="98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ac090" w:themeColor="accent6" w:themeTint="98" w:fill="fac090" w:themeFill="accent6" w:themeFillTint="98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FAC090" w:themeColor="accent6" w:themeTint="98" w:sz="32" w:space="0"/>
          <w:bottom w:val="single" w:color="FFFFFF" w:themeColor="light1" w:sz="12" w:space="0"/>
        </w:tcBorders>
        <w:shd w:val="clear" w:color="fac090" w:themeColor="accent6" w:themeTint="98" w:fill="fac090" w:themeFill="accent6" w:themeFillTint="98"/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49">
    <w:name w:val="List Table 6 Colorful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4" w:space="0"/>
        <w:bottom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50" w:customStyle="1">
    <w:name w:val="List Table 6 Colorful - Accent 1"/>
    <w:uiPriority w:val="99"/>
    <w:tblPr>
      <w:tblStyleRowBandSize w:val="1"/>
      <w:tblStyleColBandSize w:val="1"/>
      <w:tblInd w:w="0" w:type="dxa"/>
      <w:tblBorders>
        <w:top w:val="single" w:color="4F81BD" w:themeColor="accent1" w:sz="4" w:space="0"/>
        <w:bottom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851" w:customStyle="1">
    <w:name w:val="List Table 6 Colorful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bottom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852" w:customStyle="1">
    <w:name w:val="List Table 6 Colorful - Accent 3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4" w:space="0"/>
        <w:bottom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853" w:customStyle="1">
    <w:name w:val="List Table 6 Colorful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bottom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854" w:customStyle="1">
    <w:name w:val="List Table 6 Colorful - Accent 5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4" w:space="0"/>
        <w:bottom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855" w:customStyle="1">
    <w:name w:val="List Table 6 Colorful - Accent 6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4" w:space="0"/>
        <w:bottom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856">
    <w:name w:val="List Table 7 Colorful"/>
    <w:uiPriority w:val="99"/>
    <w:tblPr>
      <w:tblStyleRowBandSize w:val="1"/>
      <w:tblStyleColBandSize w:val="1"/>
      <w:tblInd w:w="0" w:type="dxa"/>
      <w:tblBorders>
        <w:right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  <w:shd w:val="clear" w:color="ffffff" w:fill="auto"/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857" w:customStyle="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4" w:space="0"/>
        </w:tcBorders>
        <w:shd w:val="clear" w:color="ffffff" w:fill="auto"/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tcBorders>
          <w:top w:val="none" w:color="000000" w:sz="4" w:space="0"/>
          <w:left w:val="single" w:color="4F81BD" w:themeColor="accent1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858" w:customStyle="1">
    <w:name w:val="List Table 7 Colorful - Accent 2"/>
    <w:uiPriority w:val="99"/>
    <w:tblPr>
      <w:tblStyleRowBandSize w:val="1"/>
      <w:tblStyleColBandSize w:val="1"/>
      <w:tblInd w:w="0" w:type="dxa"/>
      <w:tblBorders>
        <w:right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  <w:shd w:val="clear" w:color="ffffff" w:fill="auto"/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859" w:customStyle="1">
    <w:name w:val="List Table 7 Colorful - Accent 3"/>
    <w:uiPriority w:val="99"/>
    <w:tblPr>
      <w:tblStyleRowBandSize w:val="1"/>
      <w:tblStyleColBandSize w:val="1"/>
      <w:tblInd w:w="0" w:type="dxa"/>
      <w:tblBorders>
        <w:right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3D69B" w:themeColor="accent3" w:themeTint="98" w:sz="4" w:space="0"/>
        </w:tcBorders>
        <w:shd w:val="clear" w:color="ffffff" w:fill="auto"/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C3D69B" w:themeColor="accent3" w:themeTint="98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tcBorders>
          <w:top w:val="none" w:color="000000" w:sz="4" w:space="0"/>
          <w:left w:val="single" w:color="C3D69B" w:themeColor="accent3" w:themeTint="98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tcBorders>
          <w:top w:val="single" w:color="C3D69B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860" w:customStyle="1">
    <w:name w:val="List Table 7 Colorful - Accent 4"/>
    <w:uiPriority w:val="99"/>
    <w:tblPr>
      <w:tblStyleRowBandSize w:val="1"/>
      <w:tblStyleColBandSize w:val="1"/>
      <w:tblInd w:w="0" w:type="dxa"/>
      <w:tblBorders>
        <w:right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  <w:shd w:val="clear" w:color="ffffff" w:fill="auto"/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861" w:customStyle="1">
    <w:name w:val="List Table 7 Colorful - Accent 5"/>
    <w:uiPriority w:val="99"/>
    <w:tblPr>
      <w:tblStyleRowBandSize w:val="1"/>
      <w:tblStyleColBandSize w:val="1"/>
      <w:tblInd w:w="0" w:type="dxa"/>
      <w:tblBorders>
        <w:right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2CCDC" w:themeColor="accent5" w:themeTint="9A" w:sz="4" w:space="0"/>
        </w:tcBorders>
        <w:shd w:val="clear" w:color="ffffff" w:fill="auto"/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92CCDC" w:themeColor="accent5" w:themeTint="9A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tcBorders>
          <w:top w:val="none" w:color="000000" w:sz="4" w:space="0"/>
          <w:left w:val="single" w:color="92CCDC" w:themeColor="accent5" w:themeTint="9A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tcBorders>
          <w:top w:val="single" w:color="92CCDC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862" w:customStyle="1">
    <w:name w:val="List Table 7 Colorful - Accent 6"/>
    <w:uiPriority w:val="99"/>
    <w:tblPr>
      <w:tblStyleRowBandSize w:val="1"/>
      <w:tblStyleColBandSize w:val="1"/>
      <w:tblInd w:w="0" w:type="dxa"/>
      <w:tblBorders>
        <w:right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090" w:themeColor="accent6" w:themeTint="98" w:sz="4" w:space="0"/>
        </w:tcBorders>
        <w:shd w:val="clear" w:color="ffffff" w:fill="auto"/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FAC090" w:themeColor="accent6" w:themeTint="98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tcBorders>
          <w:top w:val="none" w:color="000000" w:sz="4" w:space="0"/>
          <w:left w:val="single" w:color="FAC090" w:themeColor="accent6" w:themeTint="98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tcBorders>
          <w:top w:val="single" w:color="FAC09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863" w:customStyle="1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64" w:customStyle="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65" w:customStyle="1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66" w:customStyle="1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67" w:customStyle="1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68" w:customStyle="1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69" w:customStyle="1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70" w:customStyle="1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71" w:customStyle="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72" w:customStyle="1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73" w:customStyle="1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74" w:customStyle="1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75" w:customStyle="1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76" w:customStyle="1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77" w:customStyle="1">
    <w:name w:val="Bordered"/>
    <w:uiPriority w:val="99"/>
    <w:tblPr>
      <w:tblStyleRowBandSize w:val="1"/>
      <w:tblStyleColBandSize w:val="1"/>
      <w:tblInd w:w="0" w:type="dxa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78" w:customStyle="1">
    <w:name w:val="Bordered - Accent 1"/>
    <w:uiPriority w:val="99"/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879" w:customStyle="1">
    <w:name w:val="Bordered - Accent 2"/>
    <w:uiPriority w:val="99"/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880" w:customStyle="1">
    <w:name w:val="Bordered - Accent 3"/>
    <w:uiPriority w:val="99"/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881" w:customStyle="1">
    <w:name w:val="Bordered - Accent 4"/>
    <w:uiPriority w:val="99"/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882" w:customStyle="1">
    <w:name w:val="Bordered - Accent 5"/>
    <w:uiPriority w:val="99"/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883" w:customStyle="1">
    <w:name w:val="Bordered - Accent 6"/>
    <w:uiPriority w:val="99"/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character" w:styleId="884">
    <w:name w:val="Hyperlink"/>
    <w:rPr>
      <w:color w:val="0000ff"/>
      <w:u w:val="single"/>
    </w:rPr>
  </w:style>
  <w:style w:type="paragraph" w:styleId="885">
    <w:name w:val="footnote text"/>
    <w:basedOn w:val="708"/>
    <w:link w:val="915"/>
    <w:uiPriority w:val="99"/>
    <w:unhideWhenUsed/>
    <w:rPr>
      <w:sz w:val="20"/>
      <w:szCs w:val="20"/>
    </w:rPr>
  </w:style>
  <w:style w:type="character" w:styleId="886" w:customStyle="1">
    <w:name w:val="Footnote Text Char"/>
    <w:uiPriority w:val="99"/>
    <w:rPr>
      <w:sz w:val="18"/>
    </w:rPr>
  </w:style>
  <w:style w:type="character" w:styleId="887">
    <w:name w:val="footnote reference"/>
    <w:uiPriority w:val="99"/>
    <w:unhideWhenUsed/>
    <w:rPr>
      <w:vertAlign w:val="superscript"/>
    </w:rPr>
  </w:style>
  <w:style w:type="paragraph" w:styleId="888">
    <w:name w:val="endnote text"/>
    <w:basedOn w:val="708"/>
    <w:link w:val="889"/>
    <w:uiPriority w:val="99"/>
    <w:semiHidden/>
    <w:unhideWhenUsed/>
    <w:pPr>
      <w:spacing w:after="0" w:line="240" w:lineRule="auto"/>
    </w:pPr>
    <w:rPr>
      <w:sz w:val="20"/>
    </w:rPr>
  </w:style>
  <w:style w:type="character" w:styleId="889" w:customStyle="1">
    <w:name w:val="Текст концевой сноски Знак"/>
    <w:link w:val="888"/>
    <w:uiPriority w:val="99"/>
    <w:rPr>
      <w:sz w:val="20"/>
    </w:rPr>
  </w:style>
  <w:style w:type="character" w:styleId="890">
    <w:name w:val="endnote reference"/>
    <w:uiPriority w:val="99"/>
    <w:semiHidden/>
    <w:unhideWhenUsed/>
    <w:rPr>
      <w:vertAlign w:val="superscript"/>
    </w:rPr>
  </w:style>
  <w:style w:type="paragraph" w:styleId="891">
    <w:name w:val="toc 1"/>
    <w:basedOn w:val="708"/>
    <w:next w:val="708"/>
    <w:uiPriority w:val="39"/>
    <w:unhideWhenUsed/>
    <w:pPr>
      <w:spacing w:after="57"/>
    </w:pPr>
  </w:style>
  <w:style w:type="paragraph" w:styleId="892">
    <w:name w:val="toc 2"/>
    <w:basedOn w:val="708"/>
    <w:next w:val="708"/>
    <w:uiPriority w:val="39"/>
    <w:unhideWhenUsed/>
    <w:pPr>
      <w:spacing w:after="57"/>
      <w:ind w:left="283"/>
    </w:pPr>
  </w:style>
  <w:style w:type="paragraph" w:styleId="893">
    <w:name w:val="toc 3"/>
    <w:basedOn w:val="708"/>
    <w:next w:val="708"/>
    <w:uiPriority w:val="39"/>
    <w:unhideWhenUsed/>
    <w:pPr>
      <w:spacing w:after="57"/>
      <w:ind w:left="567"/>
    </w:pPr>
  </w:style>
  <w:style w:type="paragraph" w:styleId="894">
    <w:name w:val="toc 4"/>
    <w:basedOn w:val="708"/>
    <w:next w:val="708"/>
    <w:uiPriority w:val="39"/>
    <w:unhideWhenUsed/>
    <w:pPr>
      <w:spacing w:after="57"/>
      <w:ind w:left="850"/>
    </w:pPr>
  </w:style>
  <w:style w:type="paragraph" w:styleId="895">
    <w:name w:val="toc 5"/>
    <w:basedOn w:val="708"/>
    <w:next w:val="708"/>
    <w:uiPriority w:val="39"/>
    <w:unhideWhenUsed/>
    <w:pPr>
      <w:spacing w:after="57"/>
      <w:ind w:left="1134"/>
    </w:pPr>
  </w:style>
  <w:style w:type="paragraph" w:styleId="896">
    <w:name w:val="toc 6"/>
    <w:basedOn w:val="708"/>
    <w:next w:val="708"/>
    <w:uiPriority w:val="39"/>
    <w:unhideWhenUsed/>
    <w:pPr>
      <w:spacing w:after="57"/>
      <w:ind w:left="1417"/>
    </w:pPr>
  </w:style>
  <w:style w:type="paragraph" w:styleId="897">
    <w:name w:val="toc 7"/>
    <w:basedOn w:val="708"/>
    <w:next w:val="708"/>
    <w:uiPriority w:val="39"/>
    <w:unhideWhenUsed/>
    <w:pPr>
      <w:spacing w:after="57"/>
      <w:ind w:left="1701"/>
    </w:pPr>
  </w:style>
  <w:style w:type="paragraph" w:styleId="898">
    <w:name w:val="toc 8"/>
    <w:basedOn w:val="708"/>
    <w:next w:val="708"/>
    <w:uiPriority w:val="39"/>
    <w:unhideWhenUsed/>
    <w:pPr>
      <w:spacing w:after="57"/>
      <w:ind w:left="1984"/>
    </w:pPr>
  </w:style>
  <w:style w:type="paragraph" w:styleId="899">
    <w:name w:val="toc 9"/>
    <w:basedOn w:val="708"/>
    <w:next w:val="708"/>
    <w:uiPriority w:val="39"/>
    <w:unhideWhenUsed/>
    <w:pPr>
      <w:spacing w:after="57"/>
      <w:ind w:left="2268"/>
    </w:pPr>
  </w:style>
  <w:style w:type="paragraph" w:styleId="900">
    <w:name w:val="TOC Heading"/>
    <w:uiPriority w:val="39"/>
    <w:unhideWhenUsed/>
  </w:style>
  <w:style w:type="paragraph" w:styleId="901">
    <w:name w:val="table of figures"/>
    <w:basedOn w:val="708"/>
    <w:next w:val="708"/>
    <w:uiPriority w:val="99"/>
    <w:unhideWhenUsed/>
    <w:pPr>
      <w:spacing w:after="0"/>
    </w:pPr>
  </w:style>
  <w:style w:type="character" w:styleId="902" w:customStyle="1">
    <w:name w:val="Заголовок 1 Знак"/>
    <w:link w:val="709"/>
    <w:rPr>
      <w:b/>
      <w:bCs/>
      <w:sz w:val="28"/>
      <w:szCs w:val="28"/>
      <w:lang w:val="ru-RU" w:eastAsia="ru-RU" w:bidi="ar-SA"/>
    </w:rPr>
  </w:style>
  <w:style w:type="character" w:styleId="903" w:customStyle="1">
    <w:name w:val="Заголовок 2 Знак"/>
    <w:link w:val="710"/>
    <w:semiHidden/>
    <w:rPr>
      <w:b/>
      <w:bCs/>
      <w:sz w:val="24"/>
      <w:szCs w:val="24"/>
      <w:lang w:val="ru-RU" w:eastAsia="ru-RU" w:bidi="ar-SA"/>
    </w:rPr>
  </w:style>
  <w:style w:type="character" w:styleId="904" w:customStyle="1">
    <w:name w:val="Заголовок 3 Знак"/>
    <w:link w:val="711"/>
    <w:semiHidden/>
    <w:rPr>
      <w:sz w:val="28"/>
      <w:szCs w:val="28"/>
      <w:lang w:val="ru-RU" w:eastAsia="ru-RU" w:bidi="ar-SA"/>
    </w:rPr>
  </w:style>
  <w:style w:type="character" w:styleId="905">
    <w:name w:val="FollowedHyperlink"/>
    <w:uiPriority w:val="99"/>
    <w:unhideWhenUsed/>
    <w:rPr>
      <w:color w:val="800080"/>
      <w:u w:val="single"/>
    </w:rPr>
  </w:style>
  <w:style w:type="character" w:styleId="906">
    <w:name w:val="annotation reference"/>
    <w:uiPriority w:val="99"/>
    <w:rPr>
      <w:sz w:val="16"/>
      <w:szCs w:val="16"/>
    </w:rPr>
  </w:style>
  <w:style w:type="paragraph" w:styleId="907">
    <w:name w:val="Balloon Text"/>
    <w:basedOn w:val="708"/>
    <w:link w:val="908"/>
    <w:uiPriority w:val="99"/>
    <w:unhideWhenUsed/>
    <w:pPr>
      <w:spacing w:after="0" w:line="240" w:lineRule="auto"/>
    </w:pPr>
    <w:rPr>
      <w:rFonts w:ascii="Tahoma" w:hAnsi="Tahoma"/>
      <w:sz w:val="16"/>
      <w:szCs w:val="16"/>
    </w:rPr>
  </w:style>
  <w:style w:type="character" w:styleId="908" w:customStyle="1">
    <w:name w:val="Текст выноски Знак"/>
    <w:link w:val="907"/>
    <w:uiPriority w:val="99"/>
    <w:semiHidden/>
    <w:rPr>
      <w:rFonts w:ascii="Tahoma" w:hAnsi="Tahoma" w:cs="Tahoma"/>
      <w:sz w:val="16"/>
      <w:szCs w:val="16"/>
      <w:lang w:eastAsia="en-US"/>
    </w:rPr>
  </w:style>
  <w:style w:type="paragraph" w:styleId="909">
    <w:name w:val="Body Text Indent 3"/>
    <w:basedOn w:val="708"/>
    <w:link w:val="910"/>
    <w:pPr>
      <w:spacing w:after="0" w:line="240" w:lineRule="auto"/>
      <w:jc w:val="center"/>
    </w:pPr>
    <w:rPr>
      <w:sz w:val="24"/>
      <w:szCs w:val="24"/>
      <w:lang w:eastAsia="ru-RU"/>
    </w:rPr>
  </w:style>
  <w:style w:type="character" w:styleId="910" w:customStyle="1">
    <w:name w:val="Основной текст с отступом 3 Знак"/>
    <w:link w:val="909"/>
    <w:rPr>
      <w:rFonts w:eastAsia="Calibri"/>
      <w:sz w:val="24"/>
      <w:szCs w:val="24"/>
      <w:lang w:val="ru-RU" w:eastAsia="ru-RU" w:bidi="ar-SA"/>
    </w:rPr>
  </w:style>
  <w:style w:type="paragraph" w:styleId="911">
    <w:name w:val="annotation text"/>
    <w:basedOn w:val="708"/>
    <w:link w:val="912"/>
    <w:pPr>
      <w:spacing w:after="0" w:line="240" w:lineRule="auto"/>
    </w:pPr>
    <w:rPr>
      <w:rFonts w:eastAsia="Times New Roman"/>
      <w:sz w:val="20"/>
      <w:szCs w:val="20"/>
    </w:rPr>
  </w:style>
  <w:style w:type="character" w:styleId="912" w:customStyle="1">
    <w:name w:val="Текст примечания Знак"/>
    <w:link w:val="911"/>
    <w:rPr>
      <w:rFonts w:ascii="Times New Roman" w:hAnsi="Times New Roman" w:eastAsia="Times New Roman"/>
    </w:rPr>
  </w:style>
  <w:style w:type="paragraph" w:styleId="913">
    <w:name w:val="annotation subject"/>
    <w:basedOn w:val="911"/>
    <w:next w:val="911"/>
    <w:link w:val="914"/>
    <w:uiPriority w:val="99"/>
    <w:unhideWhenUsed/>
    <w:pPr>
      <w:spacing w:after="200" w:line="276" w:lineRule="auto"/>
    </w:pPr>
    <w:rPr>
      <w:b/>
      <w:bCs/>
    </w:rPr>
  </w:style>
  <w:style w:type="character" w:styleId="914" w:customStyle="1">
    <w:name w:val="Тема примечания Знак"/>
    <w:link w:val="913"/>
    <w:uiPriority w:val="99"/>
    <w:semiHidden/>
    <w:rPr>
      <w:rFonts w:ascii="Times New Roman" w:hAnsi="Times New Roman" w:eastAsia="Times New Roman"/>
      <w:b/>
      <w:bCs/>
      <w:lang w:eastAsia="en-US"/>
    </w:rPr>
  </w:style>
  <w:style w:type="character" w:styleId="915" w:customStyle="1">
    <w:name w:val="Текст сноски Знак"/>
    <w:link w:val="885"/>
    <w:uiPriority w:val="99"/>
    <w:semiHidden/>
    <w:rPr>
      <w:lang w:eastAsia="en-US"/>
    </w:rPr>
  </w:style>
  <w:style w:type="character" w:styleId="916" w:customStyle="1">
    <w:name w:val="Верхний колонтитул Знак"/>
    <w:link w:val="752"/>
    <w:uiPriority w:val="99"/>
    <w:rPr>
      <w:sz w:val="22"/>
      <w:szCs w:val="22"/>
      <w:lang w:eastAsia="en-US"/>
    </w:rPr>
  </w:style>
  <w:style w:type="character" w:styleId="917" w:customStyle="1">
    <w:name w:val="Нижний колонтитул Знак"/>
    <w:link w:val="754"/>
    <w:uiPriority w:val="99"/>
    <w:rPr>
      <w:sz w:val="22"/>
      <w:szCs w:val="22"/>
      <w:lang w:eastAsia="en-US"/>
    </w:rPr>
  </w:style>
  <w:style w:type="paragraph" w:styleId="918">
    <w:name w:val="Normal (Web)"/>
    <w:basedOn w:val="708"/>
    <w:uiPriority w:val="99"/>
    <w:unhideWhenUsed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styleId="919" w:customStyle="1">
    <w:name w:val="ConsPlusNormal"/>
    <w:qFormat/>
    <w:pPr>
      <w:widowControl w:val="off"/>
      <w:ind w:firstLine="720"/>
    </w:pPr>
    <w:rPr>
      <w:rFonts w:ascii="Arial" w:hAnsi="Arial" w:eastAsia="Times New Roman" w:cs="Arial"/>
      <w:lang w:eastAsia="ru-RU"/>
    </w:rPr>
  </w:style>
  <w:style w:type="paragraph" w:styleId="920" w:customStyle="1">
    <w:name w:val="ConsPlusNonformat"/>
    <w:pPr>
      <w:widowControl w:val="off"/>
    </w:pPr>
    <w:rPr>
      <w:rFonts w:ascii="Courier New" w:hAnsi="Courier New" w:eastAsia="Times New Roman" w:cs="Courier New"/>
      <w:lang w:eastAsia="ru-RU"/>
    </w:rPr>
  </w:style>
  <w:style w:type="paragraph" w:styleId="921" w:customStyle="1">
    <w:name w:val="ConsPlusTitle"/>
    <w:pPr>
      <w:widowControl w:val="off"/>
    </w:pPr>
    <w:rPr>
      <w:rFonts w:eastAsia="Times New Roman" w:cs="Calibri"/>
      <w:b/>
      <w:bCs/>
      <w:sz w:val="22"/>
      <w:szCs w:val="22"/>
      <w:lang w:eastAsia="ru-RU"/>
    </w:rPr>
  </w:style>
  <w:style w:type="paragraph" w:styleId="922" w:customStyle="1">
    <w:name w:val="ConsPlusCell"/>
    <w:pPr>
      <w:widowControl w:val="off"/>
    </w:pPr>
    <w:rPr>
      <w:rFonts w:ascii="Arial" w:hAnsi="Arial" w:eastAsia="Times New Roman" w:cs="Arial"/>
      <w:lang w:eastAsia="ru-RU"/>
    </w:rPr>
  </w:style>
  <w:style w:type="paragraph" w:styleId="923" w:customStyle="1">
    <w:name w:val="ConsPlusDocList"/>
    <w:pPr>
      <w:widowControl w:val="off"/>
    </w:pPr>
    <w:rPr>
      <w:rFonts w:ascii="Courier New" w:hAnsi="Courier New" w:eastAsia="Times New Roman" w:cs="Courier New"/>
      <w:lang w:eastAsia="ru-RU"/>
    </w:rPr>
  </w:style>
  <w:style w:type="paragraph" w:styleId="924" w:customStyle="1">
    <w:name w:val="ConsPlusTitlePage"/>
    <w:pPr>
      <w:widowControl w:val="off"/>
    </w:pPr>
    <w:rPr>
      <w:rFonts w:ascii="Tahoma" w:hAnsi="Tahoma" w:eastAsia="Times New Roman" w:cs="Tahoma"/>
      <w:lang w:eastAsia="ru-RU"/>
    </w:rPr>
  </w:style>
  <w:style w:type="paragraph" w:styleId="925" w:customStyle="1">
    <w:name w:val="ConsPlusJurTerm"/>
    <w:pPr>
      <w:widowControl w:val="off"/>
    </w:pPr>
    <w:rPr>
      <w:rFonts w:ascii="Tahoma" w:hAnsi="Tahoma" w:eastAsia="Times New Roman" w:cs="Tahoma"/>
      <w:sz w:val="26"/>
      <w:lang w:eastAsia="ru-RU"/>
    </w:rPr>
  </w:style>
  <w:style w:type="paragraph" w:styleId="926" w:customStyle="1">
    <w:name w:val="ConsPlusTextList"/>
    <w:pPr>
      <w:widowControl w:val="off"/>
    </w:pPr>
    <w:rPr>
      <w:rFonts w:ascii="Arial" w:hAnsi="Arial" w:eastAsia="Times New Roman" w:cs="Arial"/>
      <w:lang w:eastAsia="ru-RU"/>
    </w:rPr>
  </w:style>
  <w:style w:type="character" w:styleId="927" w:customStyle="1">
    <w:name w:val="font61"/>
    <w:rPr>
      <w:rFonts w:ascii="Times New Roman" w:hAnsi="Times New Roman" w:cs="Times New Roman"/>
      <w:i w:val="0"/>
      <w:iCs w:val="0"/>
      <w:color w:val="000000"/>
      <w:sz w:val="18"/>
      <w:szCs w:val="18"/>
      <w:u w:val="none"/>
    </w:rPr>
  </w:style>
  <w:style w:type="character" w:styleId="928" w:customStyle="1">
    <w:name w:val="font51"/>
    <w:rPr>
      <w:rFonts w:ascii="Times New Roman" w:hAnsi="Times New Roman" w:cs="Times New Roman"/>
      <w:i w:val="0"/>
      <w:iCs w:val="0"/>
      <w:color w:val="000000"/>
      <w:sz w:val="18"/>
      <w:szCs w:val="18"/>
      <w:u w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header" Target="header3.xml" /><Relationship Id="rId12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_rels/header3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Р7-Офис/2025.3.1.923</Application>
  <Company>*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shabanova</dc:creator>
  <cp:lastModifiedBy>KononenkoOE</cp:lastModifiedBy>
  <cp:revision>5</cp:revision>
  <dcterms:created xsi:type="dcterms:W3CDTF">2025-12-19T10:16:00Z</dcterms:created>
  <dcterms:modified xsi:type="dcterms:W3CDTF">2025-12-29T04:47:30Z</dcterms:modified>
  <cp:version>1048576</cp:version>
</cp:coreProperties>
</file>